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30D658" w14:textId="54DF5399" w:rsidR="00DC7286" w:rsidRPr="00154FB4" w:rsidRDefault="00166CE0" w:rsidP="00DC7286">
      <w:pPr>
        <w:pStyle w:val="Heading1"/>
        <w:rPr>
          <w:color w:val="FC318C"/>
          <w:sz w:val="32"/>
          <w:szCs w:val="32"/>
        </w:rPr>
      </w:pPr>
      <w:r w:rsidRPr="00154FB4">
        <w:rPr>
          <w:color w:val="FC318C"/>
          <w:sz w:val="32"/>
          <w:szCs w:val="32"/>
        </w:rPr>
        <w:t>FOOD SYSTEMS AND NUTRITION PATTER</w:t>
      </w:r>
      <w:r w:rsidR="00154FB4" w:rsidRPr="00154FB4">
        <w:rPr>
          <w:color w:val="FC318C"/>
          <w:sz w:val="32"/>
          <w:szCs w:val="32"/>
        </w:rPr>
        <w:t>NS</w:t>
      </w:r>
      <w:r w:rsidR="00950526">
        <w:rPr>
          <w:color w:val="FC318C"/>
          <w:sz w:val="32"/>
          <w:szCs w:val="32"/>
        </w:rPr>
        <w:t>:</w:t>
      </w:r>
      <w:r w:rsidR="00950526" w:rsidRPr="00950526">
        <w:rPr>
          <w:color w:val="FC318C"/>
          <w:sz w:val="32"/>
          <w:szCs w:val="32"/>
        </w:rPr>
        <w:t xml:space="preserve"> </w:t>
      </w:r>
      <w:r w:rsidR="00950526">
        <w:rPr>
          <w:color w:val="FC318C"/>
          <w:sz w:val="32"/>
          <w:szCs w:val="32"/>
        </w:rPr>
        <w:t xml:space="preserve">GSDR ENTRY POINT </w:t>
      </w:r>
    </w:p>
    <w:p w14:paraId="6E3A86A4" w14:textId="4F094E2D" w:rsidR="00DC7286" w:rsidRPr="00ED77E3" w:rsidRDefault="00DC7286" w:rsidP="006B0C7A">
      <w:pPr>
        <w:rPr>
          <w:b/>
          <w:i/>
          <w:iCs/>
          <w:szCs w:val="20"/>
        </w:rPr>
      </w:pPr>
      <w:r w:rsidRPr="00ED77E3">
        <w:rPr>
          <w:i/>
          <w:iCs/>
          <w:szCs w:val="20"/>
        </w:rPr>
        <w:t xml:space="preserve">These briefs are intended for organizations and activists engaged in advocacy on SRHR, gender and sexuality in Asia and the Pacific. They aim to provide a snapshot </w:t>
      </w:r>
      <w:r w:rsidR="0000367A">
        <w:rPr>
          <w:i/>
          <w:iCs/>
          <w:szCs w:val="20"/>
        </w:rPr>
        <w:t xml:space="preserve">of </w:t>
      </w:r>
      <w:r w:rsidRPr="00ED77E3">
        <w:rPr>
          <w:i/>
          <w:iCs/>
          <w:szCs w:val="20"/>
        </w:rPr>
        <w:t xml:space="preserve">how SRHR links to the new Agenda 2030 framework laid out by the </w:t>
      </w:r>
      <w:hyperlink r:id="rId11" w:history="1">
        <w:r w:rsidRPr="00ED77E3">
          <w:rPr>
            <w:rStyle w:val="Hyperlink"/>
            <w:i/>
            <w:iCs/>
            <w:szCs w:val="20"/>
          </w:rPr>
          <w:t xml:space="preserve">2019 </w:t>
        </w:r>
        <w:r w:rsidRPr="00ED77E3">
          <w:rPr>
            <w:rStyle w:val="Hyperlink"/>
            <w:rFonts w:cs="Calibri"/>
            <w:i/>
            <w:iCs/>
            <w:szCs w:val="20"/>
          </w:rPr>
          <w:t>Global Sustainable Development R</w:t>
        </w:r>
        <w:r w:rsidRPr="00ED77E3">
          <w:rPr>
            <w:rStyle w:val="Hyperlink"/>
            <w:i/>
            <w:iCs/>
            <w:szCs w:val="20"/>
          </w:rPr>
          <w:t>eport</w:t>
        </w:r>
      </w:hyperlink>
      <w:r w:rsidR="00565DD6">
        <w:rPr>
          <w:rStyle w:val="Hyperlink"/>
          <w:i/>
          <w:iCs/>
          <w:szCs w:val="20"/>
        </w:rPr>
        <w:t xml:space="preserve"> (GS</w:t>
      </w:r>
      <w:r w:rsidR="00C02DE8">
        <w:rPr>
          <w:rStyle w:val="Hyperlink"/>
          <w:i/>
          <w:iCs/>
          <w:szCs w:val="20"/>
        </w:rPr>
        <w:t>D</w:t>
      </w:r>
      <w:r w:rsidR="00565DD6">
        <w:rPr>
          <w:rStyle w:val="Hyperlink"/>
          <w:i/>
          <w:iCs/>
          <w:szCs w:val="20"/>
        </w:rPr>
        <w:t>R)</w:t>
      </w:r>
      <w:r w:rsidRPr="00ED77E3">
        <w:rPr>
          <w:i/>
          <w:iCs/>
          <w:szCs w:val="20"/>
        </w:rPr>
        <w:t xml:space="preserve"> and the </w:t>
      </w:r>
      <w:r w:rsidR="00565DD6">
        <w:rPr>
          <w:i/>
          <w:iCs/>
          <w:szCs w:val="20"/>
        </w:rPr>
        <w:t>6</w:t>
      </w:r>
      <w:r w:rsidRPr="00ED77E3">
        <w:rPr>
          <w:i/>
          <w:iCs/>
          <w:szCs w:val="20"/>
        </w:rPr>
        <w:t xml:space="preserve"> entry-points it identifies, provide brief evidence from the context of Asia Pacific, and illustrate how fulfillment of SRHR helps countries in the region achieve just and sustainable development using the development justice framework of Asia Pacific Regional Civil Society Engagement Mechanism (AP RCEM).   The briefs have been developed by members of the</w:t>
      </w:r>
      <w:r w:rsidR="0090327F" w:rsidRPr="0090327F">
        <w:rPr>
          <w:i/>
          <w:iCs/>
          <w:szCs w:val="20"/>
        </w:rPr>
        <w:t xml:space="preserve"> </w:t>
      </w:r>
      <w:r w:rsidR="0090327F" w:rsidRPr="00ED77E3">
        <w:rPr>
          <w:i/>
          <w:iCs/>
          <w:szCs w:val="20"/>
        </w:rPr>
        <w:t>AP RCEM</w:t>
      </w:r>
      <w:r w:rsidRPr="00ED77E3">
        <w:rPr>
          <w:i/>
          <w:iCs/>
          <w:szCs w:val="20"/>
        </w:rPr>
        <w:t xml:space="preserve"> Thematic Working Group </w:t>
      </w:r>
      <w:r w:rsidR="0090327F">
        <w:rPr>
          <w:i/>
          <w:iCs/>
          <w:szCs w:val="20"/>
        </w:rPr>
        <w:t xml:space="preserve">(TWG) </w:t>
      </w:r>
      <w:r w:rsidRPr="00ED77E3">
        <w:rPr>
          <w:i/>
          <w:iCs/>
          <w:szCs w:val="20"/>
        </w:rPr>
        <w:t>on Gender, Sexuality and SRHR, and supported by the co-coordinator of the TWG</w:t>
      </w:r>
      <w:r w:rsidR="006B0C7A" w:rsidRPr="00ED77E3">
        <w:rPr>
          <w:i/>
          <w:iCs/>
          <w:szCs w:val="20"/>
        </w:rPr>
        <w:t xml:space="preserve">. </w:t>
      </w:r>
      <w:r w:rsidRPr="00ED77E3">
        <w:rPr>
          <w:i/>
          <w:iCs/>
          <w:szCs w:val="20"/>
        </w:rPr>
        <w:t xml:space="preserve"> </w:t>
      </w:r>
    </w:p>
    <w:p w14:paraId="198339AD" w14:textId="6A326C0E" w:rsidR="00825475" w:rsidRDefault="00DC7286" w:rsidP="00DC7286">
      <w:pPr>
        <w:spacing w:after="0"/>
        <w:rPr>
          <w:szCs w:val="20"/>
        </w:rPr>
      </w:pPr>
      <w:r w:rsidRPr="00627F87">
        <w:rPr>
          <w:rFonts w:asciiTheme="minorHAnsi" w:hAnsiTheme="minorHAnsi" w:cstheme="minorHAnsi"/>
          <w:b/>
          <w:bCs/>
          <w:color w:val="EF1137"/>
          <w:sz w:val="24"/>
          <w:szCs w:val="24"/>
        </w:rPr>
        <w:t>INTERLINKAGES BETWEEN GENDER</w:t>
      </w:r>
      <w:r w:rsidR="00384CBE">
        <w:rPr>
          <w:rFonts w:asciiTheme="minorHAnsi" w:hAnsiTheme="minorHAnsi" w:cstheme="minorHAnsi"/>
          <w:b/>
          <w:bCs/>
          <w:color w:val="EF1137"/>
          <w:sz w:val="24"/>
          <w:szCs w:val="24"/>
        </w:rPr>
        <w:t>,</w:t>
      </w:r>
      <w:r w:rsidRPr="00627F87">
        <w:rPr>
          <w:rFonts w:asciiTheme="minorHAnsi" w:hAnsiTheme="minorHAnsi" w:cstheme="minorHAnsi"/>
          <w:b/>
          <w:bCs/>
          <w:color w:val="EF1137"/>
          <w:sz w:val="24"/>
          <w:szCs w:val="24"/>
        </w:rPr>
        <w:t xml:space="preserve"> SRHR AND ENTRYPOINT </w:t>
      </w:r>
      <w:bookmarkStart w:id="0" w:name="_Hlk40689815"/>
      <w:r>
        <w:rPr>
          <w:rFonts w:asciiTheme="minorHAnsi" w:hAnsiTheme="minorHAnsi" w:cstheme="minorHAnsi"/>
          <w:b/>
          <w:bCs/>
          <w:color w:val="EF1137"/>
          <w:sz w:val="24"/>
          <w:szCs w:val="24"/>
        </w:rPr>
        <w:t>3</w:t>
      </w:r>
    </w:p>
    <w:p w14:paraId="00E4112B" w14:textId="4C901884" w:rsidR="00355BE6" w:rsidRPr="006B0C7A" w:rsidRDefault="002C326B" w:rsidP="004A0563">
      <w:pPr>
        <w:spacing w:after="120"/>
        <w:rPr>
          <w:color w:val="212529"/>
          <w:sz w:val="22"/>
        </w:rPr>
      </w:pPr>
      <w:r w:rsidRPr="006B0C7A">
        <w:rPr>
          <w:sz w:val="22"/>
        </w:rPr>
        <w:t xml:space="preserve">Food, nutrition, and agriculture </w:t>
      </w:r>
      <w:r w:rsidR="00754838" w:rsidRPr="006B0C7A">
        <w:rPr>
          <w:sz w:val="22"/>
        </w:rPr>
        <w:t>links to</w:t>
      </w:r>
      <w:r w:rsidR="00FC1055" w:rsidRPr="006B0C7A">
        <w:rPr>
          <w:sz w:val="22"/>
        </w:rPr>
        <w:t xml:space="preserve"> the fulfilment of many fundamental human rights and across Agenda 2030</w:t>
      </w:r>
      <w:r w:rsidR="00C2241B" w:rsidRPr="006B0C7A">
        <w:rPr>
          <w:sz w:val="22"/>
        </w:rPr>
        <w:t xml:space="preserve"> and all the SDGs</w:t>
      </w:r>
      <w:r w:rsidR="00084C6D" w:rsidRPr="006B0C7A">
        <w:rPr>
          <w:sz w:val="22"/>
        </w:rPr>
        <w:t xml:space="preserve">, </w:t>
      </w:r>
      <w:r w:rsidR="006B3B9A" w:rsidRPr="006B0C7A">
        <w:rPr>
          <w:sz w:val="22"/>
        </w:rPr>
        <w:t>with</w:t>
      </w:r>
      <w:r w:rsidR="00084C6D" w:rsidRPr="006B0C7A">
        <w:rPr>
          <w:sz w:val="22"/>
        </w:rPr>
        <w:t xml:space="preserve"> </w:t>
      </w:r>
      <w:r w:rsidR="00084C6D" w:rsidRPr="006B0C7A">
        <w:rPr>
          <w:color w:val="212529"/>
          <w:sz w:val="22"/>
        </w:rPr>
        <w:t>a standalone Goal on Zero Hunger (Goal 2)</w:t>
      </w:r>
      <w:r w:rsidR="00C2241B" w:rsidRPr="006B0C7A">
        <w:rPr>
          <w:color w:val="212529"/>
          <w:sz w:val="22"/>
        </w:rPr>
        <w:t xml:space="preserve">. </w:t>
      </w:r>
      <w:r w:rsidR="00355BE6" w:rsidRPr="006B0C7A">
        <w:rPr>
          <w:sz w:val="22"/>
        </w:rPr>
        <w:t>Building sustainable food systems and healthy nutrition patterns is particularly relevant for Asia-</w:t>
      </w:r>
      <w:r w:rsidR="00084C6D" w:rsidRPr="006B0C7A">
        <w:rPr>
          <w:sz w:val="22"/>
        </w:rPr>
        <w:t>Pacific.  Th</w:t>
      </w:r>
      <w:r w:rsidR="00633AD8" w:rsidRPr="006B0C7A">
        <w:rPr>
          <w:sz w:val="22"/>
        </w:rPr>
        <w:t xml:space="preserve">e </w:t>
      </w:r>
      <w:r w:rsidR="00E45C87" w:rsidRPr="006B0C7A">
        <w:rPr>
          <w:sz w:val="22"/>
        </w:rPr>
        <w:t>region bears the triple burden</w:t>
      </w:r>
      <w:r w:rsidR="00F911B3" w:rsidRPr="006B0C7A">
        <w:rPr>
          <w:rStyle w:val="EndnoteReference"/>
          <w:sz w:val="22"/>
        </w:rPr>
        <w:endnoteReference w:id="1"/>
      </w:r>
      <w:r w:rsidR="00BD4B79" w:rsidRPr="006B0C7A">
        <w:rPr>
          <w:sz w:val="22"/>
        </w:rPr>
        <w:t xml:space="preserve"> </w:t>
      </w:r>
      <w:r w:rsidR="0000367A">
        <w:rPr>
          <w:sz w:val="22"/>
        </w:rPr>
        <w:t>of malnutrition:</w:t>
      </w:r>
      <w:r w:rsidR="00F54CE5" w:rsidRPr="006B0C7A">
        <w:rPr>
          <w:sz w:val="22"/>
        </w:rPr>
        <w:t xml:space="preserve"> </w:t>
      </w:r>
      <w:r w:rsidR="00E45C87" w:rsidRPr="006B0C7A">
        <w:rPr>
          <w:sz w:val="22"/>
        </w:rPr>
        <w:t>the coexistence of undernutrition, obesity and overweight, and micronutrient deficiencies</w:t>
      </w:r>
      <w:r w:rsidR="003C7364" w:rsidRPr="006B0C7A">
        <w:rPr>
          <w:rStyle w:val="EndnoteReference"/>
          <w:sz w:val="22"/>
        </w:rPr>
        <w:endnoteReference w:id="2"/>
      </w:r>
      <w:r w:rsidR="003C7364" w:rsidRPr="006B0C7A">
        <w:rPr>
          <w:sz w:val="22"/>
        </w:rPr>
        <w:t>.</w:t>
      </w:r>
      <w:r w:rsidR="00E45C87" w:rsidRPr="006B0C7A">
        <w:rPr>
          <w:sz w:val="22"/>
        </w:rPr>
        <w:t xml:space="preserve"> It</w:t>
      </w:r>
      <w:r w:rsidR="00F54CE5" w:rsidRPr="006B0C7A">
        <w:rPr>
          <w:sz w:val="22"/>
        </w:rPr>
        <w:t xml:space="preserve"> is</w:t>
      </w:r>
      <w:r w:rsidR="00E45C87" w:rsidRPr="006B0C7A">
        <w:rPr>
          <w:sz w:val="22"/>
        </w:rPr>
        <w:t xml:space="preserve"> </w:t>
      </w:r>
      <w:r w:rsidR="00355BE6" w:rsidRPr="006B0C7A">
        <w:rPr>
          <w:sz w:val="22"/>
        </w:rPr>
        <w:t xml:space="preserve">home to nearly half a </w:t>
      </w:r>
      <w:r w:rsidR="003C7364" w:rsidRPr="006B0C7A">
        <w:rPr>
          <w:sz w:val="22"/>
        </w:rPr>
        <w:t xml:space="preserve">billion </w:t>
      </w:r>
      <w:r w:rsidR="00355BE6" w:rsidRPr="006B0C7A">
        <w:rPr>
          <w:sz w:val="22"/>
        </w:rPr>
        <w:t xml:space="preserve">people who lack regular access to adequate food and about 260 </w:t>
      </w:r>
      <w:r w:rsidR="00084C6D" w:rsidRPr="006B0C7A">
        <w:rPr>
          <w:sz w:val="22"/>
        </w:rPr>
        <w:t>million</w:t>
      </w:r>
      <w:r w:rsidR="00355BE6" w:rsidRPr="006B0C7A">
        <w:rPr>
          <w:sz w:val="22"/>
        </w:rPr>
        <w:t xml:space="preserve"> without access to clean water at home.</w:t>
      </w:r>
      <w:r w:rsidR="00355BE6" w:rsidRPr="006B0C7A">
        <w:rPr>
          <w:rStyle w:val="EndnoteReference"/>
          <w:sz w:val="22"/>
        </w:rPr>
        <w:endnoteReference w:id="3"/>
      </w:r>
      <w:r w:rsidR="00355BE6" w:rsidRPr="006B0C7A">
        <w:rPr>
          <w:sz w:val="22"/>
        </w:rPr>
        <w:t xml:space="preserve"> </w:t>
      </w:r>
    </w:p>
    <w:p w14:paraId="12C35CB4" w14:textId="04441EDD" w:rsidR="00216D8A" w:rsidRPr="006B0C7A" w:rsidRDefault="00B43B7B" w:rsidP="00216D8A">
      <w:pPr>
        <w:rPr>
          <w:sz w:val="22"/>
        </w:rPr>
      </w:pPr>
      <w:r w:rsidRPr="006B0C7A">
        <w:rPr>
          <w:sz w:val="22"/>
        </w:rPr>
        <w:t xml:space="preserve">The </w:t>
      </w:r>
      <w:r w:rsidR="00216D8A" w:rsidRPr="006B0C7A">
        <w:rPr>
          <w:sz w:val="22"/>
        </w:rPr>
        <w:t>majority of the world’s hungry (80%) are employed in labor-intensive food production and require additional calories to sustain themselves.</w:t>
      </w:r>
      <w:r w:rsidR="00216D8A" w:rsidRPr="006B0C7A">
        <w:rPr>
          <w:rStyle w:val="EndnoteReference"/>
          <w:sz w:val="22"/>
        </w:rPr>
        <w:endnoteReference w:id="4"/>
      </w:r>
      <w:r w:rsidR="00216D8A" w:rsidRPr="006B0C7A">
        <w:rPr>
          <w:sz w:val="22"/>
        </w:rPr>
        <w:t xml:space="preserve"> </w:t>
      </w:r>
      <w:r w:rsidR="00084C6D" w:rsidRPr="006B0C7A">
        <w:rPr>
          <w:sz w:val="22"/>
        </w:rPr>
        <w:t xml:space="preserve"> </w:t>
      </w:r>
      <w:r w:rsidR="00D235F5" w:rsidRPr="006B0C7A">
        <w:rPr>
          <w:sz w:val="22"/>
        </w:rPr>
        <w:t>However</w:t>
      </w:r>
      <w:r w:rsidR="00084C6D" w:rsidRPr="006B0C7A">
        <w:rPr>
          <w:sz w:val="22"/>
        </w:rPr>
        <w:t xml:space="preserve"> </w:t>
      </w:r>
      <w:r w:rsidR="00216D8A" w:rsidRPr="006B0C7A">
        <w:rPr>
          <w:sz w:val="22"/>
        </w:rPr>
        <w:t xml:space="preserve">80% of the world’s extreme poor and 75% of relative poor live in rural areas and most work in </w:t>
      </w:r>
      <w:r w:rsidR="00216D8A" w:rsidRPr="006B0C7A">
        <w:rPr>
          <w:b/>
          <w:bCs/>
          <w:sz w:val="22"/>
        </w:rPr>
        <w:t>agriculture</w:t>
      </w:r>
      <w:r w:rsidR="00216D8A" w:rsidRPr="006B0C7A">
        <w:rPr>
          <w:sz w:val="22"/>
        </w:rPr>
        <w:t xml:space="preserve">. The FAO estimated 805.3 </w:t>
      </w:r>
      <w:r w:rsidR="006B3B9A" w:rsidRPr="006B0C7A">
        <w:rPr>
          <w:sz w:val="22"/>
        </w:rPr>
        <w:t>million</w:t>
      </w:r>
      <w:r w:rsidR="00216D8A" w:rsidRPr="006B0C7A">
        <w:rPr>
          <w:sz w:val="22"/>
        </w:rPr>
        <w:t xml:space="preserve"> people</w:t>
      </w:r>
      <w:r w:rsidR="0000367A">
        <w:rPr>
          <w:sz w:val="22"/>
        </w:rPr>
        <w:t xml:space="preserve"> globally were </w:t>
      </w:r>
      <w:r w:rsidR="00216D8A" w:rsidRPr="006B0C7A">
        <w:rPr>
          <w:sz w:val="22"/>
        </w:rPr>
        <w:t>chr</w:t>
      </w:r>
      <w:r w:rsidR="0000367A">
        <w:rPr>
          <w:sz w:val="22"/>
        </w:rPr>
        <w:t xml:space="preserve">onically undernourished </w:t>
      </w:r>
      <w:r w:rsidR="006A50F1" w:rsidRPr="006B0C7A">
        <w:rPr>
          <w:sz w:val="22"/>
        </w:rPr>
        <w:t xml:space="preserve">between </w:t>
      </w:r>
      <w:r w:rsidR="006B3B9A" w:rsidRPr="006B0C7A">
        <w:rPr>
          <w:sz w:val="22"/>
        </w:rPr>
        <w:t>2012-2014</w:t>
      </w:r>
      <w:r w:rsidR="0000367A">
        <w:rPr>
          <w:sz w:val="22"/>
        </w:rPr>
        <w:t xml:space="preserve"> with</w:t>
      </w:r>
      <w:r w:rsidR="00AE5B4B" w:rsidRPr="006B0C7A">
        <w:rPr>
          <w:sz w:val="22"/>
        </w:rPr>
        <w:t xml:space="preserve"> two thirds in Asia</w:t>
      </w:r>
      <w:r w:rsidR="007A49E0" w:rsidRPr="006B0C7A">
        <w:rPr>
          <w:sz w:val="22"/>
        </w:rPr>
        <w:t>,</w:t>
      </w:r>
      <w:r w:rsidR="00216D8A" w:rsidRPr="006B0C7A">
        <w:rPr>
          <w:rStyle w:val="EndnoteReference"/>
          <w:sz w:val="22"/>
        </w:rPr>
        <w:endnoteReference w:id="5"/>
      </w:r>
      <w:r w:rsidR="00216D8A" w:rsidRPr="006B0C7A">
        <w:rPr>
          <w:sz w:val="22"/>
        </w:rPr>
        <w:t xml:space="preserve"> </w:t>
      </w:r>
      <w:r w:rsidR="007A49E0" w:rsidRPr="006B0C7A">
        <w:rPr>
          <w:sz w:val="22"/>
        </w:rPr>
        <w:t xml:space="preserve">and </w:t>
      </w:r>
      <w:r w:rsidR="00216D8A" w:rsidRPr="006B0C7A">
        <w:rPr>
          <w:sz w:val="22"/>
        </w:rPr>
        <w:t xml:space="preserve">60% of the world’s undernourished </w:t>
      </w:r>
      <w:r w:rsidR="00D4695D">
        <w:rPr>
          <w:sz w:val="22"/>
        </w:rPr>
        <w:t xml:space="preserve">in 2013 </w:t>
      </w:r>
      <w:r w:rsidR="00216D8A" w:rsidRPr="006B0C7A">
        <w:rPr>
          <w:sz w:val="22"/>
        </w:rPr>
        <w:t>were women and girls.</w:t>
      </w:r>
      <w:r w:rsidR="00216D8A" w:rsidRPr="006B0C7A">
        <w:rPr>
          <w:rStyle w:val="EndnoteReference"/>
          <w:sz w:val="22"/>
        </w:rPr>
        <w:endnoteReference w:id="6"/>
      </w:r>
      <w:r w:rsidR="00216D8A" w:rsidRPr="006B0C7A">
        <w:rPr>
          <w:sz w:val="22"/>
        </w:rPr>
        <w:t xml:space="preserve">   </w:t>
      </w:r>
    </w:p>
    <w:p w14:paraId="3C7393EC" w14:textId="4114EB90" w:rsidR="00216D8A" w:rsidRPr="006B0C7A" w:rsidRDefault="00BD4B79" w:rsidP="00DA34CC">
      <w:pPr>
        <w:spacing w:after="120"/>
        <w:rPr>
          <w:sz w:val="22"/>
        </w:rPr>
      </w:pPr>
      <w:r w:rsidRPr="006B0C7A">
        <w:rPr>
          <w:sz w:val="22"/>
        </w:rPr>
        <w:t>W</w:t>
      </w:r>
      <w:r w:rsidR="0023229B" w:rsidRPr="006B0C7A">
        <w:rPr>
          <w:sz w:val="22"/>
        </w:rPr>
        <w:t>om</w:t>
      </w:r>
      <w:r w:rsidR="000B7AA4" w:rsidRPr="006B0C7A">
        <w:rPr>
          <w:sz w:val="22"/>
        </w:rPr>
        <w:t>e</w:t>
      </w:r>
      <w:r w:rsidR="0023229B" w:rsidRPr="006B0C7A">
        <w:rPr>
          <w:sz w:val="22"/>
        </w:rPr>
        <w:t>n</w:t>
      </w:r>
      <w:r w:rsidR="006D0C89" w:rsidRPr="006B0C7A">
        <w:rPr>
          <w:sz w:val="22"/>
        </w:rPr>
        <w:t xml:space="preserve"> have a central role in addressing hunger and malnutrition and making agriculture and food systems more sustainable.</w:t>
      </w:r>
      <w:r w:rsidR="006D0C89" w:rsidRPr="006B0C7A">
        <w:rPr>
          <w:rStyle w:val="EndnoteReference"/>
          <w:sz w:val="22"/>
        </w:rPr>
        <w:endnoteReference w:id="7"/>
      </w:r>
      <w:r w:rsidR="00DA34CC" w:rsidRPr="006B0C7A">
        <w:rPr>
          <w:sz w:val="22"/>
        </w:rPr>
        <w:t xml:space="preserve"> </w:t>
      </w:r>
      <w:r w:rsidR="000B7AA4" w:rsidRPr="006B0C7A">
        <w:rPr>
          <w:sz w:val="22"/>
        </w:rPr>
        <w:t xml:space="preserve">Their involvement </w:t>
      </w:r>
      <w:r w:rsidR="00DA34CC" w:rsidRPr="006B0C7A">
        <w:rPr>
          <w:sz w:val="22"/>
        </w:rPr>
        <w:t>in the food chain is critical as producers, consumers, and home managers</w:t>
      </w:r>
      <w:r w:rsidR="0000367A">
        <w:rPr>
          <w:sz w:val="22"/>
        </w:rPr>
        <w:t>. T</w:t>
      </w:r>
      <w:r w:rsidR="00B227CC" w:rsidRPr="006B0C7A">
        <w:rPr>
          <w:sz w:val="22"/>
        </w:rPr>
        <w:t xml:space="preserve">hey are </w:t>
      </w:r>
      <w:r w:rsidR="006B3B9A" w:rsidRPr="006B0C7A">
        <w:rPr>
          <w:sz w:val="22"/>
        </w:rPr>
        <w:t xml:space="preserve">2 to </w:t>
      </w:r>
      <w:r w:rsidR="00DA34CC" w:rsidRPr="006B0C7A">
        <w:rPr>
          <w:sz w:val="22"/>
        </w:rPr>
        <w:t>6 times more likely than men to carry the burden of collecting water</w:t>
      </w:r>
      <w:r w:rsidR="00DA34CC" w:rsidRPr="006B0C7A">
        <w:rPr>
          <w:rStyle w:val="EndnoteReference"/>
          <w:sz w:val="22"/>
        </w:rPr>
        <w:endnoteReference w:id="8"/>
      </w:r>
      <w:r w:rsidR="006B3B9A" w:rsidRPr="006B0C7A">
        <w:rPr>
          <w:sz w:val="22"/>
        </w:rPr>
        <w:t>,</w:t>
      </w:r>
      <w:r w:rsidR="00DA34CC" w:rsidRPr="006B0C7A">
        <w:rPr>
          <w:sz w:val="22"/>
        </w:rPr>
        <w:t xml:space="preserve"> </w:t>
      </w:r>
      <w:r w:rsidR="00E0008D">
        <w:rPr>
          <w:sz w:val="22"/>
        </w:rPr>
        <w:t>to</w:t>
      </w:r>
      <w:r w:rsidR="00DA34CC" w:rsidRPr="006B0C7A">
        <w:rPr>
          <w:sz w:val="22"/>
        </w:rPr>
        <w:t xml:space="preserve"> fetch firewood to prepare food and manage domestic work.</w:t>
      </w:r>
      <w:r w:rsidR="00263FA4" w:rsidRPr="006B0C7A">
        <w:rPr>
          <w:sz w:val="22"/>
        </w:rPr>
        <w:t xml:space="preserve"> </w:t>
      </w:r>
      <w:r w:rsidR="00A16A2F" w:rsidRPr="006B0C7A">
        <w:rPr>
          <w:sz w:val="22"/>
        </w:rPr>
        <w:t>In the Pacific, s</w:t>
      </w:r>
      <w:r w:rsidR="00A5000A" w:rsidRPr="006B0C7A">
        <w:rPr>
          <w:sz w:val="22"/>
        </w:rPr>
        <w:t xml:space="preserve">ubsistence farming is a way of life </w:t>
      </w:r>
      <w:r w:rsidR="00A16A2F" w:rsidRPr="006B0C7A">
        <w:rPr>
          <w:sz w:val="22"/>
        </w:rPr>
        <w:t>for most</w:t>
      </w:r>
      <w:r w:rsidRPr="006B0C7A">
        <w:rPr>
          <w:sz w:val="22"/>
        </w:rPr>
        <w:t xml:space="preserve"> people </w:t>
      </w:r>
      <w:r w:rsidR="00E0008D">
        <w:rPr>
          <w:sz w:val="22"/>
        </w:rPr>
        <w:t>and</w:t>
      </w:r>
      <w:r w:rsidRPr="006B0C7A">
        <w:rPr>
          <w:sz w:val="22"/>
        </w:rPr>
        <w:t xml:space="preserve"> support from governments in </w:t>
      </w:r>
      <w:r w:rsidR="00A16A2F" w:rsidRPr="006B0C7A">
        <w:rPr>
          <w:sz w:val="22"/>
        </w:rPr>
        <w:t xml:space="preserve">terms of </w:t>
      </w:r>
      <w:r w:rsidR="00A5000A" w:rsidRPr="006B0C7A">
        <w:rPr>
          <w:sz w:val="22"/>
        </w:rPr>
        <w:t xml:space="preserve">commercial </w:t>
      </w:r>
      <w:r w:rsidR="00A16A2F" w:rsidRPr="006B0C7A">
        <w:rPr>
          <w:sz w:val="22"/>
        </w:rPr>
        <w:t xml:space="preserve">food </w:t>
      </w:r>
      <w:r w:rsidR="00431C63" w:rsidRPr="006B0C7A">
        <w:rPr>
          <w:sz w:val="22"/>
        </w:rPr>
        <w:t xml:space="preserve">farming </w:t>
      </w:r>
      <w:r w:rsidRPr="006B0C7A">
        <w:rPr>
          <w:sz w:val="22"/>
        </w:rPr>
        <w:t>remains low</w:t>
      </w:r>
      <w:r w:rsidR="0000367A">
        <w:rPr>
          <w:sz w:val="22"/>
        </w:rPr>
        <w:t xml:space="preserve">, leaving </w:t>
      </w:r>
      <w:r w:rsidR="006139EC" w:rsidRPr="006B0C7A">
        <w:rPr>
          <w:sz w:val="22"/>
        </w:rPr>
        <w:t xml:space="preserve">many </w:t>
      </w:r>
      <w:r w:rsidR="00E0008D">
        <w:rPr>
          <w:sz w:val="22"/>
        </w:rPr>
        <w:t>vulnerable to</w:t>
      </w:r>
      <w:r w:rsidR="006139EC" w:rsidRPr="006B0C7A">
        <w:rPr>
          <w:sz w:val="22"/>
        </w:rPr>
        <w:t xml:space="preserve"> climate change</w:t>
      </w:r>
      <w:r w:rsidR="00E0008D">
        <w:rPr>
          <w:sz w:val="22"/>
        </w:rPr>
        <w:t xml:space="preserve"> impacts</w:t>
      </w:r>
      <w:r w:rsidR="00A5000A" w:rsidRPr="006B0C7A">
        <w:rPr>
          <w:sz w:val="22"/>
        </w:rPr>
        <w:t xml:space="preserve">. </w:t>
      </w:r>
    </w:p>
    <w:p w14:paraId="70632391" w14:textId="5020E3E4" w:rsidR="00084C6D" w:rsidRPr="006B0C7A" w:rsidRDefault="00084C6D" w:rsidP="00DA34CC">
      <w:pPr>
        <w:spacing w:after="120"/>
        <w:rPr>
          <w:sz w:val="22"/>
        </w:rPr>
      </w:pPr>
      <w:r w:rsidRPr="006B0C7A">
        <w:rPr>
          <w:sz w:val="22"/>
        </w:rPr>
        <w:t>In Asia Pacific,</w:t>
      </w:r>
      <w:r w:rsidR="007F07B5" w:rsidRPr="006B0C7A">
        <w:rPr>
          <w:sz w:val="22"/>
        </w:rPr>
        <w:t xml:space="preserve"> </w:t>
      </w:r>
      <w:r w:rsidR="00952D93" w:rsidRPr="006B0C7A">
        <w:rPr>
          <w:sz w:val="22"/>
        </w:rPr>
        <w:t>women</w:t>
      </w:r>
      <w:r w:rsidR="007F07B5" w:rsidRPr="006B0C7A">
        <w:rPr>
          <w:sz w:val="22"/>
        </w:rPr>
        <w:t xml:space="preserve"> </w:t>
      </w:r>
      <w:r w:rsidR="00640F44" w:rsidRPr="006B0C7A">
        <w:rPr>
          <w:sz w:val="22"/>
        </w:rPr>
        <w:t xml:space="preserve">disproportionately </w:t>
      </w:r>
      <w:r w:rsidR="007F07B5" w:rsidRPr="006B0C7A">
        <w:rPr>
          <w:sz w:val="22"/>
        </w:rPr>
        <w:t>suffer from moderate and severe food insecurity</w:t>
      </w:r>
      <w:r w:rsidRPr="006B0C7A">
        <w:rPr>
          <w:sz w:val="22"/>
        </w:rPr>
        <w:t xml:space="preserve">.  </w:t>
      </w:r>
      <w:r w:rsidR="00092302" w:rsidRPr="006B0C7A">
        <w:rPr>
          <w:sz w:val="22"/>
        </w:rPr>
        <w:t>P</w:t>
      </w:r>
      <w:r w:rsidR="00193F5D" w:rsidRPr="006B0C7A">
        <w:rPr>
          <w:sz w:val="22"/>
        </w:rPr>
        <w:t xml:space="preserve">ervasive gender bias </w:t>
      </w:r>
      <w:r w:rsidR="00F54CE5" w:rsidRPr="006B0C7A">
        <w:rPr>
          <w:sz w:val="22"/>
        </w:rPr>
        <w:t xml:space="preserve">is </w:t>
      </w:r>
      <w:r w:rsidR="00431C63" w:rsidRPr="006B0C7A">
        <w:rPr>
          <w:sz w:val="22"/>
        </w:rPr>
        <w:t xml:space="preserve">a </w:t>
      </w:r>
      <w:r w:rsidR="00384DD2" w:rsidRPr="006B0C7A">
        <w:rPr>
          <w:sz w:val="22"/>
        </w:rPr>
        <w:t xml:space="preserve">critical </w:t>
      </w:r>
      <w:r w:rsidR="00193F5D" w:rsidRPr="006B0C7A">
        <w:rPr>
          <w:sz w:val="22"/>
        </w:rPr>
        <w:t>factor</w:t>
      </w:r>
      <w:r w:rsidR="00F54CE5" w:rsidRPr="006B0C7A">
        <w:rPr>
          <w:rStyle w:val="EndnoteReference"/>
          <w:color w:val="212529"/>
          <w:sz w:val="22"/>
        </w:rPr>
        <w:endnoteReference w:id="9"/>
      </w:r>
      <w:r w:rsidR="00F54CE5" w:rsidRPr="006B0C7A">
        <w:rPr>
          <w:sz w:val="22"/>
        </w:rPr>
        <w:t xml:space="preserve"> behind </w:t>
      </w:r>
      <w:r w:rsidR="00193F5D" w:rsidRPr="006B0C7A">
        <w:rPr>
          <w:sz w:val="22"/>
        </w:rPr>
        <w:t xml:space="preserve">malnutrition and the undernourishment </w:t>
      </w:r>
      <w:r w:rsidR="006139EC" w:rsidRPr="006B0C7A">
        <w:rPr>
          <w:sz w:val="22"/>
        </w:rPr>
        <w:t>amongst</w:t>
      </w:r>
      <w:r w:rsidR="00193F5D" w:rsidRPr="006B0C7A">
        <w:rPr>
          <w:sz w:val="22"/>
        </w:rPr>
        <w:t xml:space="preserve"> </w:t>
      </w:r>
      <w:r w:rsidR="00952D93" w:rsidRPr="006B0C7A">
        <w:rPr>
          <w:sz w:val="22"/>
        </w:rPr>
        <w:t>women</w:t>
      </w:r>
      <w:r w:rsidR="00193F5D" w:rsidRPr="006B0C7A">
        <w:rPr>
          <w:sz w:val="22"/>
        </w:rPr>
        <w:t xml:space="preserve"> </w:t>
      </w:r>
      <w:r w:rsidR="00D73605" w:rsidRPr="006B0C7A">
        <w:rPr>
          <w:sz w:val="22"/>
        </w:rPr>
        <w:t>and</w:t>
      </w:r>
      <w:r w:rsidR="00193F5D" w:rsidRPr="006B0C7A">
        <w:rPr>
          <w:sz w:val="22"/>
        </w:rPr>
        <w:t xml:space="preserve"> girls</w:t>
      </w:r>
      <w:r w:rsidR="00431C63" w:rsidRPr="006B0C7A">
        <w:rPr>
          <w:sz w:val="22"/>
        </w:rPr>
        <w:t>, which directly impacts their SRH</w:t>
      </w:r>
      <w:r w:rsidR="00384DD2" w:rsidRPr="006B0C7A">
        <w:rPr>
          <w:sz w:val="22"/>
        </w:rPr>
        <w:t>. Gender norms</w:t>
      </w:r>
      <w:r w:rsidR="00216D8A" w:rsidRPr="006B0C7A">
        <w:rPr>
          <w:sz w:val="22"/>
        </w:rPr>
        <w:t xml:space="preserve"> and custom</w:t>
      </w:r>
      <w:r w:rsidR="006139EC" w:rsidRPr="006B0C7A">
        <w:rPr>
          <w:sz w:val="22"/>
        </w:rPr>
        <w:t>s</w:t>
      </w:r>
      <w:r w:rsidR="00384DD2" w:rsidRPr="006B0C7A">
        <w:rPr>
          <w:sz w:val="22"/>
        </w:rPr>
        <w:t xml:space="preserve"> dictate </w:t>
      </w:r>
      <w:r w:rsidR="00193F5D" w:rsidRPr="006B0C7A">
        <w:rPr>
          <w:sz w:val="22"/>
        </w:rPr>
        <w:t>differential feeding and caregiving practices that privilege boys and men.</w:t>
      </w:r>
      <w:r w:rsidRPr="006B0C7A">
        <w:rPr>
          <w:sz w:val="22"/>
        </w:rPr>
        <w:t xml:space="preserve"> Low birth weight amongst surviving babies of undernourished mothers can lead to stunted growth and cognitive impairment. Pregnant and lactating women, women of reproductive age, adolescent girls, and infants and young children who have specific nutritional and dietary needs are especially worse off during natural disasters, failed crops, climatic events and resulting food shortages, and often suffer increased </w:t>
      </w:r>
      <w:r w:rsidR="00FD4C80">
        <w:rPr>
          <w:sz w:val="22"/>
        </w:rPr>
        <w:t xml:space="preserve">levels of </w:t>
      </w:r>
      <w:r w:rsidRPr="006B0C7A">
        <w:rPr>
          <w:sz w:val="22"/>
        </w:rPr>
        <w:t>violence</w:t>
      </w:r>
      <w:r w:rsidR="00FD4C80">
        <w:rPr>
          <w:sz w:val="22"/>
        </w:rPr>
        <w:t xml:space="preserve">. </w:t>
      </w:r>
    </w:p>
    <w:p w14:paraId="05C543BD" w14:textId="6801EBED" w:rsidR="00620AFB" w:rsidRPr="006B0C7A" w:rsidRDefault="00193F5D" w:rsidP="00DA34CC">
      <w:pPr>
        <w:spacing w:after="120"/>
        <w:rPr>
          <w:sz w:val="22"/>
        </w:rPr>
      </w:pPr>
      <w:r w:rsidRPr="006B0C7A">
        <w:rPr>
          <w:sz w:val="22"/>
        </w:rPr>
        <w:t xml:space="preserve"> </w:t>
      </w:r>
      <w:r w:rsidR="00DB648A">
        <w:rPr>
          <w:sz w:val="22"/>
        </w:rPr>
        <w:t>W</w:t>
      </w:r>
      <w:r w:rsidR="00952D93" w:rsidRPr="006B0C7A">
        <w:rPr>
          <w:sz w:val="22"/>
        </w:rPr>
        <w:t>omen</w:t>
      </w:r>
      <w:r w:rsidR="00BB6698" w:rsidRPr="006B0C7A">
        <w:rPr>
          <w:sz w:val="22"/>
        </w:rPr>
        <w:t xml:space="preserve"> </w:t>
      </w:r>
      <w:r w:rsidR="00D73605" w:rsidRPr="006B0C7A">
        <w:rPr>
          <w:sz w:val="22"/>
        </w:rPr>
        <w:t>and</w:t>
      </w:r>
      <w:r w:rsidR="00BB6698" w:rsidRPr="006B0C7A">
        <w:rPr>
          <w:sz w:val="22"/>
        </w:rPr>
        <w:t xml:space="preserve"> girls</w:t>
      </w:r>
      <w:r w:rsidRPr="006B0C7A">
        <w:rPr>
          <w:sz w:val="22"/>
        </w:rPr>
        <w:t xml:space="preserve"> </w:t>
      </w:r>
      <w:r w:rsidR="00AD702B" w:rsidRPr="006B0C7A">
        <w:rPr>
          <w:sz w:val="22"/>
        </w:rPr>
        <w:t>are denied</w:t>
      </w:r>
      <w:r w:rsidR="007901F7" w:rsidRPr="006B0C7A">
        <w:rPr>
          <w:sz w:val="22"/>
        </w:rPr>
        <w:t xml:space="preserve"> decision-making </w:t>
      </w:r>
      <w:r w:rsidR="00D73605" w:rsidRPr="006B0C7A">
        <w:rPr>
          <w:sz w:val="22"/>
        </w:rPr>
        <w:t>and</w:t>
      </w:r>
      <w:r w:rsidR="00A946F5" w:rsidRPr="006B0C7A">
        <w:rPr>
          <w:sz w:val="22"/>
        </w:rPr>
        <w:t xml:space="preserve"> </w:t>
      </w:r>
      <w:r w:rsidR="007901F7" w:rsidRPr="006B0C7A">
        <w:rPr>
          <w:sz w:val="22"/>
        </w:rPr>
        <w:t xml:space="preserve">leadership roles in food chains; </w:t>
      </w:r>
      <w:r w:rsidR="00AD702B" w:rsidRPr="006B0C7A">
        <w:rPr>
          <w:sz w:val="22"/>
        </w:rPr>
        <w:t xml:space="preserve">face </w:t>
      </w:r>
      <w:r w:rsidR="007901F7" w:rsidRPr="006B0C7A">
        <w:rPr>
          <w:sz w:val="22"/>
        </w:rPr>
        <w:t xml:space="preserve">harmful cultural norms </w:t>
      </w:r>
      <w:r w:rsidR="00D73605" w:rsidRPr="006B0C7A">
        <w:rPr>
          <w:sz w:val="22"/>
        </w:rPr>
        <w:t>and</w:t>
      </w:r>
      <w:r w:rsidR="007901F7" w:rsidRPr="006B0C7A">
        <w:rPr>
          <w:sz w:val="22"/>
        </w:rPr>
        <w:t xml:space="preserve"> practices (such as child </w:t>
      </w:r>
      <w:r w:rsidRPr="006B0C7A">
        <w:rPr>
          <w:sz w:val="22"/>
        </w:rPr>
        <w:t xml:space="preserve">and forced </w:t>
      </w:r>
      <w:r w:rsidR="007901F7" w:rsidRPr="006B0C7A">
        <w:rPr>
          <w:sz w:val="22"/>
        </w:rPr>
        <w:t>marriage</w:t>
      </w:r>
      <w:r w:rsidRPr="006B0C7A">
        <w:rPr>
          <w:sz w:val="22"/>
        </w:rPr>
        <w:t>,</w:t>
      </w:r>
      <w:r w:rsidR="007901F7" w:rsidRPr="006B0C7A">
        <w:rPr>
          <w:sz w:val="22"/>
        </w:rPr>
        <w:t xml:space="preserve"> inheritance deprivation</w:t>
      </w:r>
      <w:r w:rsidRPr="006B0C7A">
        <w:rPr>
          <w:sz w:val="22"/>
        </w:rPr>
        <w:t>)</w:t>
      </w:r>
      <w:r w:rsidR="007901F7" w:rsidRPr="006B0C7A">
        <w:rPr>
          <w:sz w:val="22"/>
        </w:rPr>
        <w:t xml:space="preserve">; </w:t>
      </w:r>
      <w:r w:rsidR="00DA34CC" w:rsidRPr="006B0C7A">
        <w:rPr>
          <w:sz w:val="22"/>
        </w:rPr>
        <w:t xml:space="preserve">enjoy </w:t>
      </w:r>
      <w:r w:rsidR="007901F7" w:rsidRPr="006B0C7A">
        <w:rPr>
          <w:sz w:val="22"/>
        </w:rPr>
        <w:t xml:space="preserve">lower health </w:t>
      </w:r>
      <w:r w:rsidR="00D73605" w:rsidRPr="006B0C7A">
        <w:rPr>
          <w:sz w:val="22"/>
        </w:rPr>
        <w:t>and</w:t>
      </w:r>
      <w:r w:rsidR="007901F7" w:rsidRPr="006B0C7A">
        <w:rPr>
          <w:sz w:val="22"/>
        </w:rPr>
        <w:t xml:space="preserve"> nutrition</w:t>
      </w:r>
      <w:r w:rsidR="0011772D" w:rsidRPr="006B0C7A">
        <w:rPr>
          <w:sz w:val="22"/>
        </w:rPr>
        <w:t>al status</w:t>
      </w:r>
      <w:r w:rsidR="006139EC" w:rsidRPr="006B0C7A">
        <w:rPr>
          <w:sz w:val="22"/>
        </w:rPr>
        <w:t>;</w:t>
      </w:r>
      <w:r w:rsidR="007901F7" w:rsidRPr="006B0C7A">
        <w:rPr>
          <w:sz w:val="22"/>
        </w:rPr>
        <w:t xml:space="preserve"> </w:t>
      </w:r>
      <w:r w:rsidR="00B227CC" w:rsidRPr="006B0C7A">
        <w:rPr>
          <w:sz w:val="22"/>
        </w:rPr>
        <w:t xml:space="preserve">have </w:t>
      </w:r>
      <w:r w:rsidR="00620AFB" w:rsidRPr="006B0C7A">
        <w:rPr>
          <w:sz w:val="22"/>
        </w:rPr>
        <w:t xml:space="preserve">lower access to </w:t>
      </w:r>
      <w:r w:rsidR="007901F7" w:rsidRPr="006B0C7A">
        <w:rPr>
          <w:sz w:val="22"/>
        </w:rPr>
        <w:t>education, employment opportunities</w:t>
      </w:r>
      <w:r w:rsidR="00620AFB" w:rsidRPr="006B0C7A">
        <w:rPr>
          <w:sz w:val="22"/>
        </w:rPr>
        <w:t>,</w:t>
      </w:r>
      <w:r w:rsidR="00263FA4" w:rsidRPr="006B0C7A">
        <w:rPr>
          <w:sz w:val="22"/>
        </w:rPr>
        <w:t xml:space="preserve"> land, natural resources, </w:t>
      </w:r>
      <w:r w:rsidR="00072B27" w:rsidRPr="006B0C7A">
        <w:rPr>
          <w:sz w:val="22"/>
        </w:rPr>
        <w:t xml:space="preserve">agricultural </w:t>
      </w:r>
      <w:r w:rsidR="007901F7" w:rsidRPr="006B0C7A">
        <w:rPr>
          <w:sz w:val="22"/>
        </w:rPr>
        <w:t xml:space="preserve">inputs, technology, extension services </w:t>
      </w:r>
      <w:r w:rsidR="00D73605" w:rsidRPr="006B0C7A">
        <w:rPr>
          <w:sz w:val="22"/>
        </w:rPr>
        <w:t>and</w:t>
      </w:r>
      <w:r w:rsidR="007901F7" w:rsidRPr="006B0C7A">
        <w:rPr>
          <w:sz w:val="22"/>
        </w:rPr>
        <w:t xml:space="preserve"> markets; </w:t>
      </w:r>
      <w:r w:rsidR="00263FA4" w:rsidRPr="006B0C7A">
        <w:rPr>
          <w:sz w:val="22"/>
        </w:rPr>
        <w:t xml:space="preserve">face </w:t>
      </w:r>
      <w:r w:rsidR="007901F7" w:rsidRPr="006B0C7A">
        <w:rPr>
          <w:sz w:val="22"/>
        </w:rPr>
        <w:t>financial and political exclusion</w:t>
      </w:r>
      <w:r w:rsidR="00A946F5" w:rsidRPr="006B0C7A">
        <w:rPr>
          <w:sz w:val="22"/>
        </w:rPr>
        <w:t>;</w:t>
      </w:r>
      <w:r w:rsidR="00006B7E" w:rsidRPr="006B0C7A">
        <w:rPr>
          <w:sz w:val="22"/>
        </w:rPr>
        <w:t xml:space="preserve"> </w:t>
      </w:r>
      <w:r w:rsidR="00A946F5" w:rsidRPr="006B0C7A">
        <w:rPr>
          <w:sz w:val="22"/>
        </w:rPr>
        <w:t xml:space="preserve">and unending </w:t>
      </w:r>
      <w:r w:rsidR="007901F7" w:rsidRPr="006B0C7A">
        <w:rPr>
          <w:sz w:val="22"/>
        </w:rPr>
        <w:t>gender-based violence</w:t>
      </w:r>
      <w:r w:rsidR="00620AFB" w:rsidRPr="006B0C7A">
        <w:rPr>
          <w:sz w:val="22"/>
        </w:rPr>
        <w:t>,</w:t>
      </w:r>
      <w:r w:rsidR="00006B7E" w:rsidRPr="006B0C7A">
        <w:rPr>
          <w:sz w:val="22"/>
        </w:rPr>
        <w:t xml:space="preserve"> social injustice </w:t>
      </w:r>
      <w:r w:rsidR="00D73605" w:rsidRPr="006B0C7A">
        <w:rPr>
          <w:sz w:val="22"/>
        </w:rPr>
        <w:t>and</w:t>
      </w:r>
      <w:r w:rsidR="00006B7E" w:rsidRPr="006B0C7A">
        <w:rPr>
          <w:sz w:val="22"/>
        </w:rPr>
        <w:t xml:space="preserve"> disempowerment.</w:t>
      </w:r>
      <w:r w:rsidR="00006B7E" w:rsidRPr="006B0C7A">
        <w:rPr>
          <w:rStyle w:val="EndnoteReference"/>
          <w:sz w:val="22"/>
        </w:rPr>
        <w:endnoteReference w:id="10"/>
      </w:r>
      <w:r w:rsidR="00006B7E" w:rsidRPr="006B0C7A">
        <w:rPr>
          <w:sz w:val="22"/>
        </w:rPr>
        <w:t xml:space="preserve"> </w:t>
      </w:r>
      <w:r w:rsidR="00084C6D" w:rsidRPr="006B0C7A">
        <w:rPr>
          <w:sz w:val="22"/>
        </w:rPr>
        <w:t xml:space="preserve"> </w:t>
      </w:r>
      <w:r w:rsidR="001E3F34" w:rsidRPr="006B0C7A">
        <w:rPr>
          <w:color w:val="212529"/>
          <w:sz w:val="22"/>
        </w:rPr>
        <w:t>Their autonomy as food producers is usually limited and they seldom benefit from agricultural research and development.</w:t>
      </w:r>
      <w:r w:rsidR="001E3F34" w:rsidRPr="006B0C7A">
        <w:rPr>
          <w:rStyle w:val="EndnoteReference"/>
          <w:color w:val="212529"/>
          <w:sz w:val="22"/>
        </w:rPr>
        <w:endnoteReference w:id="11"/>
      </w:r>
      <w:r w:rsidR="001E3F34" w:rsidRPr="006B0C7A">
        <w:rPr>
          <w:color w:val="212529"/>
          <w:sz w:val="22"/>
        </w:rPr>
        <w:t xml:space="preserve"> </w:t>
      </w:r>
      <w:r w:rsidR="00263FA4" w:rsidRPr="006B0C7A">
        <w:rPr>
          <w:sz w:val="22"/>
        </w:rPr>
        <w:t xml:space="preserve">Food insecurity is also </w:t>
      </w:r>
      <w:r w:rsidR="00620AFB" w:rsidRPr="006B0C7A">
        <w:rPr>
          <w:sz w:val="22"/>
        </w:rPr>
        <w:t xml:space="preserve">found </w:t>
      </w:r>
      <w:r w:rsidR="00263FA4" w:rsidRPr="006B0C7A">
        <w:rPr>
          <w:sz w:val="22"/>
        </w:rPr>
        <w:t xml:space="preserve">markedly higher for </w:t>
      </w:r>
      <w:r w:rsidR="00952D93" w:rsidRPr="006B0C7A">
        <w:rPr>
          <w:sz w:val="22"/>
        </w:rPr>
        <w:t>women</w:t>
      </w:r>
      <w:r w:rsidR="00263FA4" w:rsidRPr="006B0C7A">
        <w:rPr>
          <w:sz w:val="22"/>
        </w:rPr>
        <w:t xml:space="preserve">-headed households as </w:t>
      </w:r>
      <w:r w:rsidR="00DB648A">
        <w:rPr>
          <w:sz w:val="22"/>
        </w:rPr>
        <w:t xml:space="preserve">they </w:t>
      </w:r>
      <w:r w:rsidR="00263FA4" w:rsidRPr="006B0C7A">
        <w:rPr>
          <w:sz w:val="22"/>
        </w:rPr>
        <w:t>adjust their dietary choices to low-quality food translating into lower nutrition.</w:t>
      </w:r>
      <w:r w:rsidR="00263FA4" w:rsidRPr="006B0C7A">
        <w:rPr>
          <w:rStyle w:val="EndnoteReference"/>
          <w:color w:val="212529"/>
          <w:sz w:val="22"/>
        </w:rPr>
        <w:endnoteReference w:id="12"/>
      </w:r>
      <w:r w:rsidR="00084C6D" w:rsidRPr="006B0C7A">
        <w:rPr>
          <w:sz w:val="22"/>
        </w:rPr>
        <w:t xml:space="preserve"> </w:t>
      </w:r>
    </w:p>
    <w:p w14:paraId="53B15D4F" w14:textId="545C41D0" w:rsidR="00290311" w:rsidRPr="007E6A15" w:rsidRDefault="007E6A15" w:rsidP="00290311">
      <w:pPr>
        <w:spacing w:before="240" w:after="0"/>
        <w:rPr>
          <w:b/>
          <w:bCs/>
          <w:color w:val="EF1137"/>
          <w:sz w:val="24"/>
          <w:szCs w:val="24"/>
        </w:rPr>
      </w:pPr>
      <w:r w:rsidRPr="007E6A15">
        <w:rPr>
          <w:b/>
          <w:bCs/>
          <w:color w:val="EF1137"/>
          <w:sz w:val="24"/>
          <w:szCs w:val="24"/>
        </w:rPr>
        <w:t>POLICY COHERENCE</w:t>
      </w:r>
    </w:p>
    <w:p w14:paraId="769E07B4" w14:textId="3B5AA377" w:rsidR="00B227CC" w:rsidRPr="00166571" w:rsidRDefault="00084C6D" w:rsidP="00B227CC">
      <w:pPr>
        <w:spacing w:after="120"/>
        <w:rPr>
          <w:color w:val="212529"/>
          <w:sz w:val="22"/>
        </w:rPr>
      </w:pPr>
      <w:r w:rsidRPr="00166571">
        <w:rPr>
          <w:color w:val="212529"/>
          <w:sz w:val="22"/>
        </w:rPr>
        <w:t xml:space="preserve">At the 1974 </w:t>
      </w:r>
      <w:r w:rsidR="00CC49DF" w:rsidRPr="00166571">
        <w:rPr>
          <w:color w:val="212529"/>
          <w:sz w:val="22"/>
        </w:rPr>
        <w:t xml:space="preserve">World Food Conference </w:t>
      </w:r>
      <w:r w:rsidRPr="00166571">
        <w:rPr>
          <w:color w:val="212529"/>
          <w:sz w:val="22"/>
        </w:rPr>
        <w:t xml:space="preserve">governments </w:t>
      </w:r>
      <w:r w:rsidR="00CC49DF" w:rsidRPr="00166571">
        <w:rPr>
          <w:color w:val="212529"/>
          <w:sz w:val="22"/>
        </w:rPr>
        <w:t xml:space="preserve">proclaimed that every man, woman and child has the inalienable right to be free from hunger and malnutrition in order to develop their physical and mental faculties. </w:t>
      </w:r>
      <w:r w:rsidR="004E64D6" w:rsidRPr="00166571">
        <w:rPr>
          <w:color w:val="212529"/>
          <w:sz w:val="22"/>
        </w:rPr>
        <w:t xml:space="preserve">In 2012, the WHO </w:t>
      </w:r>
      <w:hyperlink r:id="rId12" w:history="1">
        <w:r w:rsidR="004E64D6" w:rsidRPr="00166571">
          <w:rPr>
            <w:rStyle w:val="Hyperlink"/>
            <w:sz w:val="22"/>
          </w:rPr>
          <w:t>Comprehensive Implementation Plan on Maternal, Infant and Young Child Nutrition</w:t>
        </w:r>
      </w:hyperlink>
      <w:r w:rsidR="004E64D6" w:rsidRPr="00166571">
        <w:rPr>
          <w:color w:val="212529"/>
          <w:sz w:val="22"/>
        </w:rPr>
        <w:t>, highlight</w:t>
      </w:r>
      <w:r w:rsidR="00166571" w:rsidRPr="00166571">
        <w:rPr>
          <w:color w:val="212529"/>
          <w:sz w:val="22"/>
        </w:rPr>
        <w:t xml:space="preserve">ed </w:t>
      </w:r>
      <w:r w:rsidR="004E64D6" w:rsidRPr="00166571">
        <w:rPr>
          <w:color w:val="212529"/>
          <w:sz w:val="22"/>
        </w:rPr>
        <w:t xml:space="preserve">the need for a multifaceted, multisectoral, lifecycle approach to address the burden of malnutrition globally. </w:t>
      </w:r>
      <w:r w:rsidR="008A086F" w:rsidRPr="00166571">
        <w:rPr>
          <w:color w:val="212529"/>
          <w:sz w:val="22"/>
        </w:rPr>
        <w:t xml:space="preserve">The internationally agreed </w:t>
      </w:r>
      <w:hyperlink r:id="rId13" w:history="1">
        <w:r w:rsidR="008A086F" w:rsidRPr="00166571">
          <w:rPr>
            <w:rStyle w:val="Hyperlink"/>
            <w:sz w:val="22"/>
          </w:rPr>
          <w:t>Food and Agriculture Organization’s Voluntary Guidelines on the Responsible Governance of Tenure of Land, Fisheries and Forests, 2012</w:t>
        </w:r>
      </w:hyperlink>
      <w:r w:rsidR="008A086F" w:rsidRPr="00166571">
        <w:rPr>
          <w:color w:val="212529"/>
          <w:sz w:val="22"/>
        </w:rPr>
        <w:t>, further connected social stability, housing security, rural development, environmental protection, and sustainable social and economic development through regulations across different forms of tenure, including public, private, communal, indigenous, customary and informal, for increasing food security and reducing malnutrition.</w:t>
      </w:r>
      <w:r w:rsidR="008A086F" w:rsidRPr="00166571">
        <w:rPr>
          <w:color w:val="212529"/>
          <w:sz w:val="22"/>
          <w:vertAlign w:val="superscript"/>
        </w:rPr>
        <w:endnoteReference w:id="13"/>
      </w:r>
      <w:r w:rsidR="008A086F" w:rsidRPr="00166571">
        <w:rPr>
          <w:color w:val="212529"/>
          <w:sz w:val="22"/>
        </w:rPr>
        <w:t xml:space="preserve">  </w:t>
      </w:r>
      <w:r w:rsidR="00263FA4" w:rsidRPr="00166571">
        <w:rPr>
          <w:color w:val="212529"/>
          <w:sz w:val="22"/>
        </w:rPr>
        <w:t>T</w:t>
      </w:r>
      <w:r w:rsidR="0000367A">
        <w:rPr>
          <w:color w:val="212529"/>
          <w:sz w:val="22"/>
        </w:rPr>
        <w:t>he</w:t>
      </w:r>
      <w:r w:rsidR="00092302" w:rsidRPr="00166571">
        <w:rPr>
          <w:color w:val="212529"/>
          <w:sz w:val="22"/>
        </w:rPr>
        <w:t xml:space="preserve"> </w:t>
      </w:r>
      <w:hyperlink r:id="rId14" w:history="1">
        <w:r w:rsidR="00092302" w:rsidRPr="00166571">
          <w:rPr>
            <w:rStyle w:val="Hyperlink"/>
            <w:sz w:val="22"/>
          </w:rPr>
          <w:t>2</w:t>
        </w:r>
        <w:r w:rsidR="00092302" w:rsidRPr="00166571">
          <w:rPr>
            <w:rStyle w:val="Hyperlink"/>
            <w:sz w:val="22"/>
            <w:vertAlign w:val="superscript"/>
          </w:rPr>
          <w:t>nd</w:t>
        </w:r>
        <w:r w:rsidR="00092302" w:rsidRPr="00166571">
          <w:rPr>
            <w:rStyle w:val="Hyperlink"/>
            <w:sz w:val="22"/>
          </w:rPr>
          <w:t xml:space="preserve"> International Conference on Nutrition</w:t>
        </w:r>
      </w:hyperlink>
      <w:r w:rsidR="00A027D2" w:rsidRPr="00166571">
        <w:rPr>
          <w:rStyle w:val="Hyperlink"/>
          <w:sz w:val="22"/>
        </w:rPr>
        <w:t xml:space="preserve"> (2014)</w:t>
      </w:r>
      <w:r w:rsidRPr="00166571">
        <w:rPr>
          <w:color w:val="212529"/>
          <w:sz w:val="22"/>
        </w:rPr>
        <w:t xml:space="preserve"> agreed to raise</w:t>
      </w:r>
      <w:r w:rsidR="00092302" w:rsidRPr="00166571">
        <w:rPr>
          <w:color w:val="212529"/>
          <w:sz w:val="22"/>
        </w:rPr>
        <w:t xml:space="preserve"> global awareness about the need to transform food systems for better diets and a healthier planet. </w:t>
      </w:r>
    </w:p>
    <w:p w14:paraId="5B7D9980" w14:textId="77304888" w:rsidR="00F43BA5" w:rsidRPr="00DE3798" w:rsidRDefault="00281A6D" w:rsidP="00B227CC">
      <w:pPr>
        <w:rPr>
          <w:color w:val="212529"/>
          <w:szCs w:val="20"/>
        </w:rPr>
      </w:pPr>
      <w:r w:rsidRPr="00166571">
        <w:rPr>
          <w:color w:val="212529"/>
          <w:sz w:val="22"/>
        </w:rPr>
        <w:t xml:space="preserve">Today, there are four widely accepted dimensions of </w:t>
      </w:r>
      <w:r w:rsidR="000A7C3C" w:rsidRPr="00166571">
        <w:rPr>
          <w:color w:val="212529"/>
          <w:sz w:val="22"/>
        </w:rPr>
        <w:t xml:space="preserve">food security: </w:t>
      </w:r>
      <w:r w:rsidR="00C6526A" w:rsidRPr="00166571">
        <w:rPr>
          <w:color w:val="212529"/>
          <w:sz w:val="22"/>
        </w:rPr>
        <w:t xml:space="preserve"> </w:t>
      </w:r>
      <w:r w:rsidR="000A7C3C" w:rsidRPr="00166571">
        <w:rPr>
          <w:color w:val="212529"/>
          <w:sz w:val="22"/>
        </w:rPr>
        <w:t>availability, access</w:t>
      </w:r>
      <w:r w:rsidR="006378B8" w:rsidRPr="00166571">
        <w:rPr>
          <w:color w:val="212529"/>
          <w:sz w:val="22"/>
        </w:rPr>
        <w:t>,</w:t>
      </w:r>
      <w:r w:rsidR="00C6526A" w:rsidRPr="00166571">
        <w:rPr>
          <w:color w:val="212529"/>
          <w:sz w:val="22"/>
        </w:rPr>
        <w:t xml:space="preserve"> </w:t>
      </w:r>
      <w:r w:rsidR="006378B8" w:rsidRPr="00166571">
        <w:rPr>
          <w:color w:val="212529"/>
          <w:sz w:val="22"/>
        </w:rPr>
        <w:t>u</w:t>
      </w:r>
      <w:r w:rsidR="000A7C3C" w:rsidRPr="00166571">
        <w:rPr>
          <w:color w:val="212529"/>
          <w:sz w:val="22"/>
        </w:rPr>
        <w:t>tilization</w:t>
      </w:r>
      <w:r w:rsidR="006378B8" w:rsidRPr="00166571">
        <w:rPr>
          <w:color w:val="212529"/>
          <w:sz w:val="22"/>
        </w:rPr>
        <w:t xml:space="preserve"> (through </w:t>
      </w:r>
      <w:r w:rsidR="000A7C3C" w:rsidRPr="00166571">
        <w:rPr>
          <w:color w:val="212529"/>
          <w:sz w:val="22"/>
        </w:rPr>
        <w:t xml:space="preserve">adequate </w:t>
      </w:r>
      <w:r w:rsidR="000A7C3C" w:rsidRPr="00166571">
        <w:rPr>
          <w:color w:val="212529"/>
          <w:sz w:val="22"/>
        </w:rPr>
        <w:lastRenderedPageBreak/>
        <w:t>diet, clean water, sanitation and health care to reach a state of nutritional well-being where all physiological needs are met</w:t>
      </w:r>
      <w:r w:rsidR="00A027D2" w:rsidRPr="00166571">
        <w:rPr>
          <w:color w:val="212529"/>
          <w:sz w:val="22"/>
        </w:rPr>
        <w:t>)</w:t>
      </w:r>
      <w:r w:rsidR="00C6526A" w:rsidRPr="00166571">
        <w:rPr>
          <w:color w:val="212529"/>
          <w:sz w:val="22"/>
        </w:rPr>
        <w:t xml:space="preserve"> and s</w:t>
      </w:r>
      <w:r w:rsidR="000A7C3C" w:rsidRPr="00166571">
        <w:rPr>
          <w:color w:val="212529"/>
          <w:sz w:val="22"/>
        </w:rPr>
        <w:t>tability</w:t>
      </w:r>
      <w:r w:rsidR="00CD2693" w:rsidRPr="00166571">
        <w:rPr>
          <w:color w:val="212529"/>
          <w:sz w:val="22"/>
        </w:rPr>
        <w:t xml:space="preserve"> (</w:t>
      </w:r>
      <w:r w:rsidR="000A7C3C" w:rsidRPr="00166571">
        <w:rPr>
          <w:color w:val="212529"/>
          <w:sz w:val="22"/>
        </w:rPr>
        <w:t>adequate food at all times</w:t>
      </w:r>
      <w:r w:rsidR="00206B65" w:rsidRPr="00166571">
        <w:rPr>
          <w:color w:val="212529"/>
          <w:sz w:val="22"/>
        </w:rPr>
        <w:t>)</w:t>
      </w:r>
      <w:r w:rsidR="000A7C3C" w:rsidRPr="00166571">
        <w:rPr>
          <w:color w:val="212529"/>
          <w:sz w:val="22"/>
        </w:rPr>
        <w:t>.</w:t>
      </w:r>
      <w:r w:rsidR="00263FA4" w:rsidRPr="00166571">
        <w:rPr>
          <w:color w:val="212529"/>
          <w:sz w:val="22"/>
        </w:rPr>
        <w:t xml:space="preserve"> </w:t>
      </w:r>
      <w:r w:rsidR="000F64C7" w:rsidRPr="00166571">
        <w:rPr>
          <w:sz w:val="22"/>
        </w:rPr>
        <w:t xml:space="preserve">The </w:t>
      </w:r>
      <w:hyperlink r:id="rId15" w:history="1">
        <w:r w:rsidR="000F64C7" w:rsidRPr="00166571">
          <w:rPr>
            <w:rStyle w:val="Hyperlink"/>
            <w:sz w:val="22"/>
          </w:rPr>
          <w:t>report of the UN Secretary General on the 53</w:t>
        </w:r>
        <w:r w:rsidR="000F64C7" w:rsidRPr="00166571">
          <w:rPr>
            <w:rStyle w:val="Hyperlink"/>
            <w:sz w:val="22"/>
            <w:vertAlign w:val="superscript"/>
          </w:rPr>
          <w:t>rd</w:t>
        </w:r>
        <w:r w:rsidR="000F64C7" w:rsidRPr="00166571">
          <w:rPr>
            <w:rStyle w:val="Hyperlink"/>
            <w:sz w:val="22"/>
          </w:rPr>
          <w:t xml:space="preserve"> CPD</w:t>
        </w:r>
      </w:hyperlink>
      <w:r w:rsidR="000F64C7" w:rsidRPr="00166571">
        <w:rPr>
          <w:rStyle w:val="EndnoteReference"/>
          <w:sz w:val="22"/>
        </w:rPr>
        <w:endnoteReference w:id="14"/>
      </w:r>
      <w:r w:rsidR="000F64C7" w:rsidRPr="00166571">
        <w:rPr>
          <w:sz w:val="22"/>
        </w:rPr>
        <w:t xml:space="preserve"> urges nation states to integrate nutrition within </w:t>
      </w:r>
      <w:r w:rsidR="00206B65" w:rsidRPr="00166571">
        <w:rPr>
          <w:sz w:val="22"/>
        </w:rPr>
        <w:t>UHC</w:t>
      </w:r>
      <w:r w:rsidR="000F64C7" w:rsidRPr="00166571">
        <w:rPr>
          <w:sz w:val="22"/>
        </w:rPr>
        <w:t xml:space="preserve"> in order to expand nutrition coverage and boost health outcomes.</w:t>
      </w:r>
      <w:r w:rsidR="0021695D" w:rsidRPr="00166571">
        <w:rPr>
          <w:b/>
          <w:bCs/>
          <w:sz w:val="22"/>
        </w:rPr>
        <w:t xml:space="preserve"> </w:t>
      </w:r>
      <w:r w:rsidR="0021695D" w:rsidRPr="00166571">
        <w:rPr>
          <w:color w:val="212529"/>
          <w:sz w:val="22"/>
        </w:rPr>
        <w:t>The 53</w:t>
      </w:r>
      <w:r w:rsidR="0021695D" w:rsidRPr="00166571">
        <w:rPr>
          <w:color w:val="212529"/>
          <w:sz w:val="22"/>
          <w:vertAlign w:val="superscript"/>
        </w:rPr>
        <w:t>rd</w:t>
      </w:r>
      <w:r w:rsidR="0021695D" w:rsidRPr="00166571">
        <w:rPr>
          <w:color w:val="212529"/>
          <w:sz w:val="22"/>
        </w:rPr>
        <w:t xml:space="preserve"> CPD’s draft Political Declaration on Population, Food security, Nutrition and Sustainable Development in the Context of the Coronavirus Disease also underscores</w:t>
      </w:r>
      <w:r w:rsidR="0021695D" w:rsidRPr="00166571">
        <w:rPr>
          <w:sz w:val="22"/>
        </w:rPr>
        <w:t xml:space="preserve"> the nutritional needs of pregnant and lactating women, women of reprodu</w:t>
      </w:r>
      <w:r w:rsidR="0000367A">
        <w:rPr>
          <w:sz w:val="22"/>
        </w:rPr>
        <w:t xml:space="preserve">ctive age, </w:t>
      </w:r>
      <w:r w:rsidR="0021695D" w:rsidRPr="00166571">
        <w:rPr>
          <w:sz w:val="22"/>
        </w:rPr>
        <w:t>adolescent girls, young children</w:t>
      </w:r>
      <w:r w:rsidR="0000367A">
        <w:rPr>
          <w:sz w:val="22"/>
        </w:rPr>
        <w:t xml:space="preserve"> and infants,</w:t>
      </w:r>
      <w:r w:rsidR="0021695D" w:rsidRPr="00166571">
        <w:rPr>
          <w:sz w:val="22"/>
        </w:rPr>
        <w:t xml:space="preserve"> especially during the first 1,000 days, and calls for countering the devastating impact on food security, nutrition and livelihoods of people under COVID-19. It suggests encouraging family farming and positioning of food </w:t>
      </w:r>
      <w:r w:rsidR="00C82911" w:rsidRPr="00166571">
        <w:rPr>
          <w:sz w:val="22"/>
        </w:rPr>
        <w:t xml:space="preserve">within </w:t>
      </w:r>
      <w:r w:rsidR="0021695D" w:rsidRPr="00166571">
        <w:rPr>
          <w:sz w:val="22"/>
        </w:rPr>
        <w:t xml:space="preserve">social protection systems, </w:t>
      </w:r>
      <w:r w:rsidR="00C82911" w:rsidRPr="00166571">
        <w:rPr>
          <w:sz w:val="22"/>
        </w:rPr>
        <w:t xml:space="preserve">while </w:t>
      </w:r>
      <w:r w:rsidR="0021695D" w:rsidRPr="00166571">
        <w:rPr>
          <w:sz w:val="22"/>
        </w:rPr>
        <w:t>ensuring that commitment</w:t>
      </w:r>
      <w:r w:rsidR="00640F44" w:rsidRPr="00166571">
        <w:rPr>
          <w:sz w:val="22"/>
        </w:rPr>
        <w:t>s</w:t>
      </w:r>
      <w:r w:rsidR="0021695D" w:rsidRPr="00166571">
        <w:rPr>
          <w:sz w:val="22"/>
        </w:rPr>
        <w:t xml:space="preserve"> under </w:t>
      </w:r>
      <w:hyperlink r:id="rId16" w:history="1">
        <w:r w:rsidR="0021695D" w:rsidRPr="00166571">
          <w:rPr>
            <w:rStyle w:val="Hyperlink"/>
            <w:sz w:val="22"/>
          </w:rPr>
          <w:t>ICPD</w:t>
        </w:r>
      </w:hyperlink>
      <w:r w:rsidR="0021695D" w:rsidRPr="00166571">
        <w:rPr>
          <w:sz w:val="22"/>
        </w:rPr>
        <w:t xml:space="preserve">, </w:t>
      </w:r>
      <w:hyperlink r:id="rId17" w:history="1">
        <w:r w:rsidR="0021695D" w:rsidRPr="00166571">
          <w:rPr>
            <w:rStyle w:val="Hyperlink"/>
            <w:sz w:val="22"/>
          </w:rPr>
          <w:t>BPfA</w:t>
        </w:r>
      </w:hyperlink>
      <w:r w:rsidR="0021695D" w:rsidRPr="00166571">
        <w:rPr>
          <w:sz w:val="22"/>
        </w:rPr>
        <w:t xml:space="preserve"> and </w:t>
      </w:r>
      <w:hyperlink r:id="rId18" w:history="1">
        <w:r w:rsidR="0021695D" w:rsidRPr="00166571">
          <w:rPr>
            <w:rStyle w:val="Hyperlink"/>
            <w:sz w:val="22"/>
          </w:rPr>
          <w:t>CEDAW</w:t>
        </w:r>
      </w:hyperlink>
      <w:r w:rsidR="0021695D" w:rsidRPr="00166571">
        <w:rPr>
          <w:sz w:val="22"/>
        </w:rPr>
        <w:t xml:space="preserve"> are </w:t>
      </w:r>
      <w:r w:rsidR="00C82911" w:rsidRPr="00166571">
        <w:rPr>
          <w:sz w:val="22"/>
        </w:rPr>
        <w:t xml:space="preserve">also </w:t>
      </w:r>
      <w:r w:rsidR="0021695D" w:rsidRPr="00166571">
        <w:rPr>
          <w:sz w:val="22"/>
        </w:rPr>
        <w:t>upheld by 2030</w:t>
      </w:r>
      <w:r w:rsidR="0021695D" w:rsidRPr="00DE3798">
        <w:rPr>
          <w:szCs w:val="20"/>
        </w:rPr>
        <w:t>.</w:t>
      </w:r>
      <w:bookmarkStart w:id="2" w:name="_GoBack"/>
      <w:bookmarkEnd w:id="2"/>
    </w:p>
    <w:p w14:paraId="42CB39BD" w14:textId="74843562" w:rsidR="007C02EF" w:rsidRPr="005D7E6D" w:rsidRDefault="005D7E6D" w:rsidP="006A7B36">
      <w:pPr>
        <w:spacing w:after="0"/>
        <w:rPr>
          <w:b/>
          <w:bCs/>
          <w:color w:val="EF1137"/>
          <w:sz w:val="24"/>
          <w:szCs w:val="24"/>
        </w:rPr>
      </w:pPr>
      <w:r>
        <w:rPr>
          <w:b/>
          <w:bCs/>
          <w:color w:val="EF1137"/>
          <w:sz w:val="24"/>
          <w:szCs w:val="24"/>
        </w:rPr>
        <w:t xml:space="preserve">EVIDENCE FROM ASIA PACIFIC </w:t>
      </w:r>
    </w:p>
    <w:p w14:paraId="20B65ADF" w14:textId="234022C4" w:rsidR="00952E0D" w:rsidRPr="008A12DD" w:rsidRDefault="009B2E9C" w:rsidP="0027758A">
      <w:pPr>
        <w:pStyle w:val="ListParagraph"/>
        <w:numPr>
          <w:ilvl w:val="0"/>
          <w:numId w:val="7"/>
        </w:numPr>
        <w:ind w:left="180" w:hanging="180"/>
        <w:rPr>
          <w:sz w:val="22"/>
        </w:rPr>
      </w:pPr>
      <w:r w:rsidRPr="008A12DD">
        <w:rPr>
          <w:sz w:val="22"/>
        </w:rPr>
        <w:t xml:space="preserve"> A</w:t>
      </w:r>
      <w:r w:rsidR="00952E0D" w:rsidRPr="008A12DD">
        <w:rPr>
          <w:sz w:val="22"/>
        </w:rPr>
        <w:t xml:space="preserve">cross Asia only 10.7% </w:t>
      </w:r>
      <w:r w:rsidR="0000367A">
        <w:rPr>
          <w:sz w:val="22"/>
        </w:rPr>
        <w:t xml:space="preserve">of </w:t>
      </w:r>
      <w:r w:rsidR="00952E0D" w:rsidRPr="008A12DD">
        <w:rPr>
          <w:b/>
          <w:bCs/>
          <w:sz w:val="22"/>
        </w:rPr>
        <w:t>women owned land</w:t>
      </w:r>
      <w:r w:rsidR="00952E0D" w:rsidRPr="008A12DD">
        <w:rPr>
          <w:sz w:val="22"/>
        </w:rPr>
        <w:t xml:space="preserve"> compared to the global average of 20% and 18.6% in Africa</w:t>
      </w:r>
      <w:r w:rsidR="005D7E6D" w:rsidRPr="008A12DD">
        <w:rPr>
          <w:sz w:val="22"/>
        </w:rPr>
        <w:t xml:space="preserve"> in 2014</w:t>
      </w:r>
      <w:r w:rsidR="00952E0D" w:rsidRPr="008A12DD">
        <w:rPr>
          <w:rStyle w:val="EndnoteReference"/>
          <w:sz w:val="22"/>
        </w:rPr>
        <w:endnoteReference w:id="15"/>
      </w:r>
    </w:p>
    <w:p w14:paraId="71710619" w14:textId="162781E4" w:rsidR="00006B7E" w:rsidRDefault="00084C6D" w:rsidP="009A54D0">
      <w:pPr>
        <w:pStyle w:val="ListParagraph"/>
        <w:numPr>
          <w:ilvl w:val="0"/>
          <w:numId w:val="7"/>
        </w:numPr>
        <w:ind w:left="180" w:hanging="180"/>
        <w:rPr>
          <w:sz w:val="22"/>
        </w:rPr>
      </w:pPr>
      <w:r w:rsidRPr="008A12DD">
        <w:rPr>
          <w:sz w:val="22"/>
        </w:rPr>
        <w:t xml:space="preserve"> Close to 489 million people remain undernourished</w:t>
      </w:r>
      <w:r w:rsidRPr="008A12DD">
        <w:rPr>
          <w:rStyle w:val="EndnoteReference"/>
          <w:sz w:val="22"/>
        </w:rPr>
        <w:endnoteReference w:id="16"/>
      </w:r>
      <w:r w:rsidRPr="008A12DD">
        <w:rPr>
          <w:sz w:val="22"/>
        </w:rPr>
        <w:t xml:space="preserve">.  </w:t>
      </w:r>
      <w:r w:rsidR="0000367A">
        <w:rPr>
          <w:sz w:val="22"/>
        </w:rPr>
        <w:t>While</w:t>
      </w:r>
      <w:r w:rsidR="0002649D" w:rsidRPr="008A12DD">
        <w:rPr>
          <w:sz w:val="22"/>
        </w:rPr>
        <w:t xml:space="preserve"> prevalence of </w:t>
      </w:r>
      <w:r w:rsidR="0002649D" w:rsidRPr="008A12DD">
        <w:rPr>
          <w:b/>
          <w:bCs/>
          <w:sz w:val="22"/>
        </w:rPr>
        <w:t>undernourishment</w:t>
      </w:r>
      <w:r w:rsidR="0000367A">
        <w:rPr>
          <w:sz w:val="22"/>
        </w:rPr>
        <w:t xml:space="preserve"> </w:t>
      </w:r>
      <w:r w:rsidR="0002649D" w:rsidRPr="008A12DD">
        <w:rPr>
          <w:sz w:val="22"/>
        </w:rPr>
        <w:t xml:space="preserve">dropped from 17% in 2000 to 11% in 2017, hunger will not be eradicated in the region by 2030. </w:t>
      </w:r>
      <w:r w:rsidR="002C2F78" w:rsidRPr="008A12DD">
        <w:rPr>
          <w:sz w:val="22"/>
        </w:rPr>
        <w:t>After decades of steady decline, the number of people who suffer from hunger</w:t>
      </w:r>
      <w:r w:rsidR="0000367A">
        <w:rPr>
          <w:sz w:val="22"/>
        </w:rPr>
        <w:t xml:space="preserve"> </w:t>
      </w:r>
      <w:r w:rsidR="002C2F78" w:rsidRPr="008A12DD">
        <w:rPr>
          <w:sz w:val="22"/>
        </w:rPr>
        <w:t xml:space="preserve">began to slowly increase again in 2015. </w:t>
      </w:r>
    </w:p>
    <w:p w14:paraId="3666BEC2" w14:textId="556F49ED" w:rsidR="0066160A" w:rsidRPr="0066160A" w:rsidRDefault="0066160A" w:rsidP="0066160A">
      <w:pPr>
        <w:pStyle w:val="ListParagraph"/>
        <w:numPr>
          <w:ilvl w:val="0"/>
          <w:numId w:val="7"/>
        </w:numPr>
        <w:ind w:left="180" w:hanging="180"/>
        <w:rPr>
          <w:sz w:val="22"/>
        </w:rPr>
      </w:pPr>
      <w:r w:rsidRPr="008A12DD">
        <w:rPr>
          <w:sz w:val="22"/>
        </w:rPr>
        <w:t>Nearly one third of women of reproductive age are undernourished.</w:t>
      </w:r>
      <w:r w:rsidRPr="008A12DD">
        <w:rPr>
          <w:rStyle w:val="EndnoteReference"/>
          <w:sz w:val="22"/>
        </w:rPr>
        <w:endnoteReference w:id="17"/>
      </w:r>
      <w:r w:rsidRPr="008A12DD">
        <w:rPr>
          <w:sz w:val="22"/>
        </w:rPr>
        <w:t xml:space="preserve"> Malnourishment heightens their susceptibility to both infectious and non-communicable diseases</w:t>
      </w:r>
      <w:r w:rsidRPr="008A12DD">
        <w:rPr>
          <w:rStyle w:val="EndnoteReference"/>
          <w:sz w:val="22"/>
        </w:rPr>
        <w:endnoteReference w:id="18"/>
      </w:r>
      <w:r w:rsidRPr="008A12DD">
        <w:rPr>
          <w:sz w:val="22"/>
        </w:rPr>
        <w:t>, and undernutrition in pregnancy can increase chances of obstructed labour, premature births, low-birth-weight babies, and postpartum hemorrhage.</w:t>
      </w:r>
      <w:r w:rsidRPr="008A12DD">
        <w:rPr>
          <w:rStyle w:val="EndnoteReference"/>
          <w:sz w:val="22"/>
        </w:rPr>
        <w:endnoteReference w:id="19"/>
      </w:r>
    </w:p>
    <w:p w14:paraId="36269E2C" w14:textId="5D23CFAA" w:rsidR="0052253E" w:rsidRPr="008A12DD" w:rsidRDefault="004B3341" w:rsidP="0052253E">
      <w:pPr>
        <w:pStyle w:val="ListParagraph"/>
        <w:numPr>
          <w:ilvl w:val="0"/>
          <w:numId w:val="7"/>
        </w:numPr>
        <w:ind w:left="180" w:hanging="180"/>
        <w:rPr>
          <w:sz w:val="22"/>
        </w:rPr>
      </w:pPr>
      <w:r w:rsidRPr="008A12DD">
        <w:rPr>
          <w:sz w:val="22"/>
        </w:rPr>
        <w:t>Asia has two thirds of the world’s hungry people and the highest number of undernourished people (525.6 million)</w:t>
      </w:r>
      <w:r w:rsidR="009B2E9C" w:rsidRPr="008A12DD">
        <w:rPr>
          <w:sz w:val="22"/>
        </w:rPr>
        <w:t xml:space="preserve"> in the world</w:t>
      </w:r>
      <w:r w:rsidRPr="008A12DD">
        <w:rPr>
          <w:rStyle w:val="EndnoteReference"/>
          <w:sz w:val="22"/>
        </w:rPr>
        <w:endnoteReference w:id="20"/>
      </w:r>
    </w:p>
    <w:p w14:paraId="15C3705D" w14:textId="0809113D" w:rsidR="00570C41" w:rsidRPr="008A12DD" w:rsidRDefault="00203FA0" w:rsidP="0052253E">
      <w:pPr>
        <w:pStyle w:val="ListParagraph"/>
        <w:numPr>
          <w:ilvl w:val="0"/>
          <w:numId w:val="7"/>
        </w:numPr>
        <w:ind w:left="180" w:hanging="180"/>
        <w:rPr>
          <w:sz w:val="22"/>
        </w:rPr>
      </w:pPr>
      <w:r w:rsidRPr="008A12DD">
        <w:rPr>
          <w:sz w:val="22"/>
        </w:rPr>
        <w:t>While on the decline, some of the highest rat</w:t>
      </w:r>
      <w:r w:rsidR="008A0080">
        <w:rPr>
          <w:sz w:val="22"/>
        </w:rPr>
        <w:t xml:space="preserve">es of stunting are found in South East Asia </w:t>
      </w:r>
      <w:r w:rsidRPr="008A12DD">
        <w:rPr>
          <w:sz w:val="22"/>
        </w:rPr>
        <w:t>with over 40% children affected in some countries and over 50% at the sub-national level</w:t>
      </w:r>
      <w:r w:rsidR="008A0080">
        <w:rPr>
          <w:rStyle w:val="EndnoteReference"/>
          <w:sz w:val="22"/>
        </w:rPr>
        <w:endnoteReference w:id="21"/>
      </w:r>
      <w:r w:rsidRPr="008A12DD">
        <w:rPr>
          <w:sz w:val="22"/>
        </w:rPr>
        <w:t xml:space="preserve">. </w:t>
      </w:r>
    </w:p>
    <w:p w14:paraId="21806D96" w14:textId="2D74CC64" w:rsidR="00203FA0" w:rsidRPr="008A12DD" w:rsidRDefault="00203FA0" w:rsidP="0052253E">
      <w:pPr>
        <w:pStyle w:val="ListParagraph"/>
        <w:numPr>
          <w:ilvl w:val="0"/>
          <w:numId w:val="7"/>
        </w:numPr>
        <w:ind w:left="180" w:hanging="180"/>
        <w:rPr>
          <w:sz w:val="22"/>
        </w:rPr>
      </w:pPr>
      <w:r w:rsidRPr="008A12DD">
        <w:rPr>
          <w:sz w:val="22"/>
        </w:rPr>
        <w:t>At the same time,</w:t>
      </w:r>
      <w:r w:rsidR="00570C41" w:rsidRPr="008A12DD">
        <w:rPr>
          <w:sz w:val="22"/>
        </w:rPr>
        <w:t xml:space="preserve"> the</w:t>
      </w:r>
      <w:r w:rsidR="0052253E" w:rsidRPr="008A12DD">
        <w:rPr>
          <w:sz w:val="22"/>
        </w:rPr>
        <w:t xml:space="preserve"> rate of obesity in the region continues to climb and poses a cost upward of 0.78% of regional GDP, or $166 billion annually.</w:t>
      </w:r>
      <w:r w:rsidR="0052253E" w:rsidRPr="008A12DD">
        <w:rPr>
          <w:rStyle w:val="EndnoteReference"/>
          <w:sz w:val="22"/>
        </w:rPr>
        <w:endnoteReference w:id="22"/>
      </w:r>
      <w:r w:rsidR="00570C41" w:rsidRPr="008A12DD">
        <w:rPr>
          <w:sz w:val="22"/>
        </w:rPr>
        <w:t xml:space="preserve">  </w:t>
      </w:r>
    </w:p>
    <w:p w14:paraId="74D1DCCF" w14:textId="62147A26" w:rsidR="008A12DD" w:rsidRPr="008A12DD" w:rsidRDefault="008A12DD" w:rsidP="0052253E">
      <w:pPr>
        <w:pStyle w:val="ListParagraph"/>
        <w:numPr>
          <w:ilvl w:val="0"/>
          <w:numId w:val="7"/>
        </w:numPr>
        <w:ind w:left="180" w:hanging="180"/>
        <w:rPr>
          <w:sz w:val="22"/>
        </w:rPr>
      </w:pPr>
      <w:r w:rsidRPr="008A12DD">
        <w:rPr>
          <w:sz w:val="22"/>
        </w:rPr>
        <w:t xml:space="preserve">In at least 20 countries, the proportion of children under age 5 who are moderately or severely </w:t>
      </w:r>
      <w:r w:rsidRPr="008A12DD">
        <w:rPr>
          <w:b/>
          <w:bCs/>
          <w:sz w:val="22"/>
        </w:rPr>
        <w:t>overweight</w:t>
      </w:r>
      <w:r w:rsidRPr="008A12DD">
        <w:rPr>
          <w:sz w:val="22"/>
        </w:rPr>
        <w:t xml:space="preserve"> has increased since 2000, and in some cases the rate has more than doubled</w:t>
      </w:r>
      <w:r w:rsidR="00F252A9">
        <w:rPr>
          <w:sz w:val="22"/>
        </w:rPr>
        <w:t>.</w:t>
      </w:r>
    </w:p>
    <w:p w14:paraId="2CD357D2" w14:textId="75A10C70" w:rsidR="001013D2" w:rsidRPr="00F252A9" w:rsidRDefault="001013D2" w:rsidP="00273247">
      <w:pPr>
        <w:pStyle w:val="ListParagraph"/>
        <w:ind w:left="180"/>
        <w:rPr>
          <w:color w:val="EF1137"/>
          <w:sz w:val="24"/>
          <w:szCs w:val="24"/>
        </w:rPr>
      </w:pPr>
    </w:p>
    <w:p w14:paraId="5A3DC39E" w14:textId="752E3040" w:rsidR="0019365A" w:rsidRPr="00F252A9" w:rsidRDefault="00F252A9" w:rsidP="00273247">
      <w:pPr>
        <w:pStyle w:val="ListParagraph"/>
        <w:ind w:left="0"/>
        <w:rPr>
          <w:b/>
          <w:color w:val="EF1137"/>
          <w:sz w:val="24"/>
          <w:szCs w:val="24"/>
        </w:rPr>
      </w:pPr>
      <w:r w:rsidRPr="00F252A9">
        <w:rPr>
          <w:b/>
          <w:color w:val="EF1137"/>
          <w:sz w:val="24"/>
          <w:szCs w:val="24"/>
        </w:rPr>
        <w:t xml:space="preserve">CONCLUSION </w:t>
      </w:r>
    </w:p>
    <w:p w14:paraId="03BE5BCC" w14:textId="4D84A356" w:rsidR="00503C7C" w:rsidRPr="00ED77E3" w:rsidRDefault="001D632A" w:rsidP="00273247">
      <w:pPr>
        <w:pStyle w:val="ListParagraph"/>
        <w:ind w:left="0"/>
        <w:rPr>
          <w:sz w:val="22"/>
        </w:rPr>
      </w:pPr>
      <w:r w:rsidRPr="00ED77E3">
        <w:rPr>
          <w:bCs/>
          <w:sz w:val="22"/>
        </w:rPr>
        <w:t xml:space="preserve">Hunger and malnutrition in all its forms have gender and age dimensions, and are closely linked to health outcomes, including </w:t>
      </w:r>
      <w:r w:rsidR="00E8265C">
        <w:rPr>
          <w:bCs/>
          <w:sz w:val="22"/>
        </w:rPr>
        <w:t>SRHR</w:t>
      </w:r>
      <w:r w:rsidRPr="00ED77E3">
        <w:rPr>
          <w:bCs/>
          <w:sz w:val="22"/>
        </w:rPr>
        <w:t xml:space="preserve">.  </w:t>
      </w:r>
      <w:r w:rsidR="00503C7C" w:rsidRPr="00ED77E3">
        <w:rPr>
          <w:sz w:val="22"/>
        </w:rPr>
        <w:t xml:space="preserve">Benefits from improved food and nutrition </w:t>
      </w:r>
      <w:r w:rsidR="00A0451D">
        <w:rPr>
          <w:sz w:val="22"/>
        </w:rPr>
        <w:t>are</w:t>
      </w:r>
      <w:r w:rsidR="00503C7C" w:rsidRPr="00ED77E3">
        <w:rPr>
          <w:sz w:val="22"/>
        </w:rPr>
        <w:t xml:space="preserve"> accelerated if accompanied by access to adequate education, SRHR information, education and services, clean water, and necessary hygiene and sanitation.</w:t>
      </w:r>
      <w:r w:rsidR="00503C7C" w:rsidRPr="00ED77E3">
        <w:rPr>
          <w:rStyle w:val="EndnoteReference"/>
          <w:sz w:val="22"/>
        </w:rPr>
        <w:endnoteReference w:id="23"/>
      </w:r>
      <w:r w:rsidR="00503C7C" w:rsidRPr="00ED77E3">
        <w:rPr>
          <w:sz w:val="22"/>
        </w:rPr>
        <w:t xml:space="preserve"> Policies and support programs need to be inclusive and participatory with trackable investments dedicated towards reshaping underlying social structures and practices that precipitate higher nutritional deprivation and food insecurity amongst women, girls</w:t>
      </w:r>
      <w:r w:rsidR="00A0451D">
        <w:rPr>
          <w:sz w:val="22"/>
        </w:rPr>
        <w:t>,</w:t>
      </w:r>
      <w:r w:rsidR="00503C7C" w:rsidRPr="00ED77E3">
        <w:rPr>
          <w:sz w:val="22"/>
        </w:rPr>
        <w:t xml:space="preserve"> LGBTIQA+ people and those belonging to religious/ethnic/caste-based minorities, and indigenous, migrant and refugee/displaced communities. </w:t>
      </w:r>
    </w:p>
    <w:p w14:paraId="43705F2A" w14:textId="77777777" w:rsidR="00503C7C" w:rsidRPr="00ED77E3" w:rsidRDefault="00503C7C" w:rsidP="00273247">
      <w:pPr>
        <w:pStyle w:val="ListParagraph"/>
        <w:ind w:left="0"/>
        <w:rPr>
          <w:bCs/>
          <w:sz w:val="22"/>
        </w:rPr>
      </w:pPr>
    </w:p>
    <w:p w14:paraId="34B0E3B4" w14:textId="581E8CB0" w:rsidR="00667B0C" w:rsidRPr="00746DE0" w:rsidRDefault="00D83072" w:rsidP="00273247">
      <w:pPr>
        <w:pStyle w:val="ListParagraph"/>
        <w:ind w:left="0"/>
        <w:rPr>
          <w:sz w:val="22"/>
        </w:rPr>
      </w:pPr>
      <w:r w:rsidRPr="00D83072">
        <w:rPr>
          <w:sz w:val="22"/>
        </w:rPr>
        <w:t>Women’s needs are central to framing food security and food sovereignty policies and programs that integrate SRHR.</w:t>
      </w:r>
      <w:r>
        <w:rPr>
          <w:sz w:val="22"/>
        </w:rPr>
        <w:t xml:space="preserve"> </w:t>
      </w:r>
      <w:r w:rsidR="00986A4C" w:rsidRPr="00ED77E3">
        <w:rPr>
          <w:sz w:val="22"/>
        </w:rPr>
        <w:t xml:space="preserve">Investments in </w:t>
      </w:r>
      <w:r w:rsidR="0023229B" w:rsidRPr="00ED77E3">
        <w:rPr>
          <w:sz w:val="22"/>
        </w:rPr>
        <w:t>wom</w:t>
      </w:r>
      <w:r w:rsidR="00E264C4" w:rsidRPr="00ED77E3">
        <w:rPr>
          <w:sz w:val="22"/>
        </w:rPr>
        <w:t>e</w:t>
      </w:r>
      <w:r w:rsidR="0023229B" w:rsidRPr="00ED77E3">
        <w:rPr>
          <w:sz w:val="22"/>
        </w:rPr>
        <w:t>n</w:t>
      </w:r>
      <w:r w:rsidR="00986A4C" w:rsidRPr="00ED77E3">
        <w:rPr>
          <w:sz w:val="22"/>
        </w:rPr>
        <w:t>’s nutrition and SRHR</w:t>
      </w:r>
      <w:r w:rsidR="00D85031" w:rsidRPr="00ED77E3">
        <w:rPr>
          <w:sz w:val="22"/>
        </w:rPr>
        <w:t xml:space="preserve"> </w:t>
      </w:r>
      <w:r w:rsidR="00667B0C">
        <w:rPr>
          <w:sz w:val="22"/>
        </w:rPr>
        <w:t xml:space="preserve">also </w:t>
      </w:r>
      <w:r w:rsidR="00986A4C" w:rsidRPr="00ED77E3">
        <w:rPr>
          <w:sz w:val="22"/>
        </w:rPr>
        <w:t>brings dividends in terms of improved health security for their children, families, and entire communities</w:t>
      </w:r>
      <w:r w:rsidR="00986A4C" w:rsidRPr="00D41D2F">
        <w:rPr>
          <w:sz w:val="22"/>
        </w:rPr>
        <w:t xml:space="preserve">. </w:t>
      </w:r>
      <w:r w:rsidR="00952E0D" w:rsidRPr="00D41D2F">
        <w:rPr>
          <w:sz w:val="22"/>
        </w:rPr>
        <w:t xml:space="preserve">Including out-of-school CSE in farming communities </w:t>
      </w:r>
      <w:r w:rsidR="00AB09E5" w:rsidRPr="00D41D2F">
        <w:rPr>
          <w:sz w:val="22"/>
        </w:rPr>
        <w:t>can</w:t>
      </w:r>
      <w:r w:rsidR="00952E0D" w:rsidRPr="00D41D2F">
        <w:rPr>
          <w:sz w:val="22"/>
        </w:rPr>
        <w:t xml:space="preserve"> ensure that women are made equal partners in the pr</w:t>
      </w:r>
      <w:r w:rsidR="00F60260">
        <w:rPr>
          <w:sz w:val="22"/>
        </w:rPr>
        <w:t xml:space="preserve">oduction of food in the Pacific, </w:t>
      </w:r>
      <w:r w:rsidR="00952E0D" w:rsidRPr="00D41D2F">
        <w:rPr>
          <w:sz w:val="22"/>
        </w:rPr>
        <w:t xml:space="preserve">and </w:t>
      </w:r>
      <w:r w:rsidR="00D41D2F" w:rsidRPr="00D41D2F">
        <w:rPr>
          <w:sz w:val="22"/>
        </w:rPr>
        <w:t>for</w:t>
      </w:r>
      <w:r w:rsidR="00627B83" w:rsidRPr="00D41D2F">
        <w:rPr>
          <w:sz w:val="22"/>
        </w:rPr>
        <w:t xml:space="preserve"> </w:t>
      </w:r>
      <w:r w:rsidR="00952E0D" w:rsidRPr="00D41D2F">
        <w:rPr>
          <w:sz w:val="22"/>
        </w:rPr>
        <w:t xml:space="preserve">agrarian societies can directly impact the types of food being farmed for families and </w:t>
      </w:r>
      <w:r w:rsidR="00627B83" w:rsidRPr="00D41D2F">
        <w:rPr>
          <w:sz w:val="22"/>
        </w:rPr>
        <w:t>thus</w:t>
      </w:r>
      <w:r w:rsidR="00952E0D" w:rsidRPr="00D41D2F">
        <w:rPr>
          <w:sz w:val="22"/>
        </w:rPr>
        <w:t xml:space="preserve"> dietary intake</w:t>
      </w:r>
      <w:r w:rsidR="00627B83" w:rsidRPr="00D41D2F">
        <w:rPr>
          <w:sz w:val="22"/>
        </w:rPr>
        <w:t>.</w:t>
      </w:r>
      <w:r w:rsidR="00627B83">
        <w:rPr>
          <w:sz w:val="22"/>
        </w:rPr>
        <w:t xml:space="preserve"> </w:t>
      </w:r>
      <w:r w:rsidR="00746DE0">
        <w:rPr>
          <w:sz w:val="22"/>
        </w:rPr>
        <w:t xml:space="preserve"> </w:t>
      </w:r>
      <w:r w:rsidR="00667B0C" w:rsidRPr="00ED77E3">
        <w:rPr>
          <w:bCs/>
          <w:sz w:val="22"/>
        </w:rPr>
        <w:t xml:space="preserve"> </w:t>
      </w:r>
    </w:p>
    <w:p w14:paraId="624C8757" w14:textId="6A821724" w:rsidR="00B269E5" w:rsidRPr="00ED77E3" w:rsidRDefault="00B528EC" w:rsidP="00E264C4">
      <w:pPr>
        <w:spacing w:after="120"/>
        <w:rPr>
          <w:sz w:val="22"/>
        </w:rPr>
      </w:pPr>
      <w:r>
        <w:rPr>
          <w:sz w:val="22"/>
        </w:rPr>
        <w:t>M</w:t>
      </w:r>
      <w:r w:rsidR="00F977E8" w:rsidRPr="00ED77E3">
        <w:rPr>
          <w:sz w:val="22"/>
        </w:rPr>
        <w:t xml:space="preserve">ore attention </w:t>
      </w:r>
      <w:r>
        <w:rPr>
          <w:sz w:val="22"/>
        </w:rPr>
        <w:t xml:space="preserve">is needed to address </w:t>
      </w:r>
      <w:r w:rsidR="00F977E8" w:rsidRPr="00ED77E3">
        <w:rPr>
          <w:sz w:val="22"/>
        </w:rPr>
        <w:t xml:space="preserve">the complex relationship between migration, </w:t>
      </w:r>
      <w:r w:rsidR="00030E3B" w:rsidRPr="00ED77E3">
        <w:rPr>
          <w:sz w:val="22"/>
        </w:rPr>
        <w:t xml:space="preserve">health, </w:t>
      </w:r>
      <w:r w:rsidR="00F977E8" w:rsidRPr="00ED77E3">
        <w:rPr>
          <w:sz w:val="22"/>
        </w:rPr>
        <w:t xml:space="preserve">food security </w:t>
      </w:r>
      <w:r w:rsidR="00D73605" w:rsidRPr="00ED77E3">
        <w:rPr>
          <w:sz w:val="22"/>
        </w:rPr>
        <w:t>and</w:t>
      </w:r>
      <w:r w:rsidR="00030E3B" w:rsidRPr="00ED77E3">
        <w:rPr>
          <w:sz w:val="22"/>
        </w:rPr>
        <w:t xml:space="preserve"> </w:t>
      </w:r>
      <w:r w:rsidR="00F977E8" w:rsidRPr="00ED77E3">
        <w:rPr>
          <w:sz w:val="22"/>
        </w:rPr>
        <w:t xml:space="preserve">nutrition </w:t>
      </w:r>
      <w:r w:rsidR="007C6AD3" w:rsidRPr="00ED77E3">
        <w:rPr>
          <w:sz w:val="22"/>
        </w:rPr>
        <w:t xml:space="preserve">as food insecurity and hunger are among the chief drivers of migration for both men and </w:t>
      </w:r>
      <w:r w:rsidR="00952D93" w:rsidRPr="00ED77E3">
        <w:rPr>
          <w:sz w:val="22"/>
        </w:rPr>
        <w:t>women</w:t>
      </w:r>
      <w:r w:rsidR="007C6AD3" w:rsidRPr="00ED77E3">
        <w:rPr>
          <w:sz w:val="22"/>
        </w:rPr>
        <w:t>.</w:t>
      </w:r>
      <w:r w:rsidR="00500F2F" w:rsidRPr="00ED77E3">
        <w:rPr>
          <w:sz w:val="22"/>
        </w:rPr>
        <w:t xml:space="preserve"> </w:t>
      </w:r>
      <w:r w:rsidR="00777DF2" w:rsidRPr="00ED77E3">
        <w:rPr>
          <w:sz w:val="22"/>
        </w:rPr>
        <w:t xml:space="preserve">In the post COVID-19 world, it is </w:t>
      </w:r>
      <w:r w:rsidR="00B227CC" w:rsidRPr="00ED77E3">
        <w:rPr>
          <w:sz w:val="22"/>
        </w:rPr>
        <w:t xml:space="preserve">crucial to </w:t>
      </w:r>
      <w:r w:rsidR="00777DF2" w:rsidRPr="00ED77E3">
        <w:rPr>
          <w:sz w:val="22"/>
        </w:rPr>
        <w:t>rethink food systems and patterns of production and consumption through appropriate subsidies</w:t>
      </w:r>
      <w:r w:rsidR="00C753A8" w:rsidRPr="00ED77E3">
        <w:rPr>
          <w:sz w:val="22"/>
        </w:rPr>
        <w:t xml:space="preserve"> for food producers</w:t>
      </w:r>
      <w:r w:rsidR="00777DF2" w:rsidRPr="00ED77E3">
        <w:rPr>
          <w:sz w:val="22"/>
        </w:rPr>
        <w:t xml:space="preserve">, </w:t>
      </w:r>
      <w:r w:rsidR="00D92346" w:rsidRPr="00ED77E3">
        <w:rPr>
          <w:sz w:val="22"/>
        </w:rPr>
        <w:t xml:space="preserve">people-centered policies, </w:t>
      </w:r>
      <w:r w:rsidR="00777DF2" w:rsidRPr="00ED77E3">
        <w:rPr>
          <w:sz w:val="22"/>
        </w:rPr>
        <w:t xml:space="preserve">integrated support for </w:t>
      </w:r>
      <w:r w:rsidR="004F55E1" w:rsidRPr="00ED77E3">
        <w:rPr>
          <w:sz w:val="22"/>
        </w:rPr>
        <w:t xml:space="preserve">nutrition, </w:t>
      </w:r>
      <w:r w:rsidR="00777DF2" w:rsidRPr="00ED77E3">
        <w:rPr>
          <w:sz w:val="22"/>
        </w:rPr>
        <w:t xml:space="preserve">education, health services, water and sanitation, </w:t>
      </w:r>
      <w:r w:rsidR="004F55E1" w:rsidRPr="00ED77E3">
        <w:rPr>
          <w:sz w:val="22"/>
        </w:rPr>
        <w:t xml:space="preserve">food </w:t>
      </w:r>
      <w:r w:rsidR="00777DF2" w:rsidRPr="00ED77E3">
        <w:rPr>
          <w:sz w:val="22"/>
        </w:rPr>
        <w:t>price stability</w:t>
      </w:r>
      <w:r w:rsidR="004F55E1" w:rsidRPr="00ED77E3">
        <w:rPr>
          <w:sz w:val="22"/>
        </w:rPr>
        <w:t xml:space="preserve"> </w:t>
      </w:r>
      <w:r w:rsidR="00D73605" w:rsidRPr="00ED77E3">
        <w:rPr>
          <w:sz w:val="22"/>
        </w:rPr>
        <w:t>and</w:t>
      </w:r>
      <w:r w:rsidR="004F55E1" w:rsidRPr="00ED77E3">
        <w:rPr>
          <w:sz w:val="22"/>
        </w:rPr>
        <w:t xml:space="preserve"> curbing of artificial shortages</w:t>
      </w:r>
      <w:r w:rsidR="00ED3C29" w:rsidRPr="00ED77E3">
        <w:rPr>
          <w:sz w:val="22"/>
        </w:rPr>
        <w:t xml:space="preserve"> and market distortions</w:t>
      </w:r>
      <w:r w:rsidR="00777DF2" w:rsidRPr="00ED77E3">
        <w:rPr>
          <w:sz w:val="22"/>
        </w:rPr>
        <w:t xml:space="preserve"> to ensure people </w:t>
      </w:r>
      <w:r w:rsidR="00EB261B">
        <w:rPr>
          <w:sz w:val="22"/>
        </w:rPr>
        <w:t>will</w:t>
      </w:r>
      <w:r w:rsidR="00777DF2" w:rsidRPr="00ED77E3">
        <w:rPr>
          <w:sz w:val="22"/>
        </w:rPr>
        <w:t xml:space="preserve"> not have to cho</w:t>
      </w:r>
      <w:r w:rsidR="00F52B5D" w:rsidRPr="00ED77E3">
        <w:rPr>
          <w:sz w:val="22"/>
        </w:rPr>
        <w:t>o</w:t>
      </w:r>
      <w:r w:rsidR="00777DF2" w:rsidRPr="00ED77E3">
        <w:rPr>
          <w:sz w:val="22"/>
        </w:rPr>
        <w:t>se between</w:t>
      </w:r>
      <w:r w:rsidR="00C82911" w:rsidRPr="00ED77E3">
        <w:rPr>
          <w:sz w:val="22"/>
        </w:rPr>
        <w:t xml:space="preserve"> exposure </w:t>
      </w:r>
      <w:r w:rsidR="00EB261B">
        <w:rPr>
          <w:sz w:val="22"/>
        </w:rPr>
        <w:t xml:space="preserve">to a virus </w:t>
      </w:r>
      <w:r w:rsidR="00777DF2" w:rsidRPr="00ED77E3">
        <w:rPr>
          <w:sz w:val="22"/>
        </w:rPr>
        <w:t>and starvation</w:t>
      </w:r>
      <w:r w:rsidR="005F2A05" w:rsidRPr="00ED77E3">
        <w:rPr>
          <w:sz w:val="22"/>
        </w:rPr>
        <w:t>.</w:t>
      </w:r>
      <w:r w:rsidR="00CD729C" w:rsidRPr="00ED77E3">
        <w:rPr>
          <w:sz w:val="22"/>
        </w:rPr>
        <w:t xml:space="preserve"> </w:t>
      </w:r>
    </w:p>
    <w:bookmarkEnd w:id="0"/>
    <w:p w14:paraId="17D0D694" w14:textId="59F909BB" w:rsidR="00B50423" w:rsidRDefault="00B50423" w:rsidP="00825475">
      <w:pPr>
        <w:widowControl/>
        <w:spacing w:after="160" w:line="259" w:lineRule="auto"/>
        <w:jc w:val="left"/>
        <w:rPr>
          <w:rFonts w:asciiTheme="minorHAnsi" w:eastAsiaTheme="majorEastAsia" w:hAnsiTheme="minorHAnsi" w:cstheme="majorBidi"/>
          <w:b/>
          <w:bCs/>
          <w:sz w:val="28"/>
          <w:szCs w:val="28"/>
        </w:rPr>
      </w:pPr>
    </w:p>
    <w:p w14:paraId="2AC7239D" w14:textId="77777777" w:rsidR="00F60260" w:rsidRDefault="00F60260" w:rsidP="00B50423">
      <w:pPr>
        <w:pStyle w:val="Heading1"/>
        <w:pBdr>
          <w:bottom w:val="none" w:sz="0" w:space="0" w:color="auto"/>
        </w:pBdr>
        <w:jc w:val="left"/>
        <w:rPr>
          <w:color w:val="EF1137"/>
        </w:rPr>
      </w:pPr>
    </w:p>
    <w:p w14:paraId="018EAD40" w14:textId="41F7242D" w:rsidR="00544092" w:rsidRPr="00DE3798" w:rsidRDefault="00544092" w:rsidP="00B50423">
      <w:pPr>
        <w:pStyle w:val="Heading1"/>
        <w:pBdr>
          <w:bottom w:val="none" w:sz="0" w:space="0" w:color="auto"/>
        </w:pBdr>
        <w:jc w:val="left"/>
      </w:pPr>
      <w:r w:rsidRPr="00746DE0">
        <w:rPr>
          <w:color w:val="EF1137"/>
        </w:rPr>
        <w:t>ENDNOTES</w:t>
      </w:r>
    </w:p>
    <w:sectPr w:rsidR="00544092" w:rsidRPr="00DE3798" w:rsidSect="00273247">
      <w:headerReference w:type="default" r:id="rId19"/>
      <w:footerReference w:type="default" r:id="rId20"/>
      <w:endnotePr>
        <w:numFmt w:val="decimal"/>
        <w:numRestart w:val="eachSect"/>
      </w:endnotePr>
      <w:pgSz w:w="11906" w:h="16838"/>
      <w:pgMar w:top="900" w:right="720" w:bottom="810" w:left="720" w:header="720" w:footer="1022"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1F8B9" w16cex:dateUtc="2020-06-27T11:56:00Z"/>
  <w16cex:commentExtensible w16cex:durableId="22A08533" w16cex:dateUtc="2020-06-26T09:31:00Z"/>
  <w16cex:commentExtensible w16cex:durableId="2295EDC1" w16cex:dateUtc="2020-06-18T08:42:00Z"/>
  <w16cex:commentExtensible w16cex:durableId="2295E987" w16cex:dateUtc="2020-06-18T08:24:00Z"/>
  <w16cex:commentExtensible w16cex:durableId="22A231D4" w16cex:dateUtc="2020-06-27T16:00:00Z"/>
  <w16cex:commentExtensible w16cex:durableId="229E3AF0" w16cex:dateUtc="2020-06-24T15:49:00Z"/>
  <w16cex:commentExtensible w16cex:durableId="22A23083" w16cex:dateUtc="2020-06-24T15: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93DDE2" w16cid:durableId="22AEEDF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5278BD" w14:textId="77777777" w:rsidR="00EB37C9" w:rsidRDefault="00EB37C9" w:rsidP="006809C6">
      <w:pPr>
        <w:spacing w:after="0"/>
      </w:pPr>
      <w:r>
        <w:separator/>
      </w:r>
    </w:p>
  </w:endnote>
  <w:endnote w:type="continuationSeparator" w:id="0">
    <w:p w14:paraId="371A3B79" w14:textId="77777777" w:rsidR="00EB37C9" w:rsidRDefault="00EB37C9" w:rsidP="006809C6">
      <w:pPr>
        <w:spacing w:after="0"/>
      </w:pPr>
      <w:r>
        <w:continuationSeparator/>
      </w:r>
    </w:p>
  </w:endnote>
  <w:endnote w:id="1">
    <w:p w14:paraId="7482C827" w14:textId="67CD0FC6" w:rsidR="00D73605" w:rsidRDefault="00D73605" w:rsidP="00CC61DC">
      <w:pPr>
        <w:pStyle w:val="EndnoteText"/>
        <w:ind w:left="270" w:hanging="270"/>
      </w:pPr>
      <w:r w:rsidRPr="00CC61DC">
        <w:rPr>
          <w:rStyle w:val="EndnoteReference"/>
          <w:sz w:val="18"/>
          <w:szCs w:val="18"/>
        </w:rPr>
        <w:endnoteRef/>
      </w:r>
      <w:r w:rsidRPr="00CC61DC">
        <w:rPr>
          <w:sz w:val="18"/>
          <w:szCs w:val="18"/>
        </w:rPr>
        <w:t xml:space="preserve"> FAO (2018). </w:t>
      </w:r>
      <w:hyperlink r:id="rId1" w:history="1">
        <w:r w:rsidRPr="00CC61DC">
          <w:rPr>
            <w:rStyle w:val="Hyperlink"/>
            <w:sz w:val="18"/>
            <w:szCs w:val="18"/>
          </w:rPr>
          <w:t>State of Food and Agriculture in Asia and the Pacific Region, including Future Prospects and Emerging Issues</w:t>
        </w:r>
      </w:hyperlink>
      <w:r w:rsidRPr="00CC61DC">
        <w:rPr>
          <w:sz w:val="18"/>
          <w:szCs w:val="18"/>
        </w:rPr>
        <w:t>. Regional Conference for Asia and the Pacific.</w:t>
      </w:r>
    </w:p>
  </w:endnote>
  <w:endnote w:id="2">
    <w:p w14:paraId="444AC9A7" w14:textId="5F503DA7" w:rsidR="00D73605" w:rsidRDefault="00D73605">
      <w:pPr>
        <w:pStyle w:val="EndnoteText"/>
      </w:pPr>
      <w:r>
        <w:rPr>
          <w:rStyle w:val="EndnoteReference"/>
        </w:rPr>
        <w:endnoteRef/>
      </w:r>
      <w:r>
        <w:t xml:space="preserve"> Includes </w:t>
      </w:r>
      <w:r w:rsidRPr="00DE4481">
        <w:t>prevalence of anemia</w:t>
      </w:r>
      <w:r>
        <w:t xml:space="preserve">, </w:t>
      </w:r>
      <w:r w:rsidRPr="00DE4481">
        <w:t>vitamin A</w:t>
      </w:r>
      <w:r>
        <w:t xml:space="preserve"> and </w:t>
      </w:r>
      <w:r w:rsidRPr="00DE4481">
        <w:t>iodine deficiency</w:t>
      </w:r>
      <w:r>
        <w:t xml:space="preserve"> in pregnant women.</w:t>
      </w:r>
    </w:p>
  </w:endnote>
  <w:endnote w:id="3">
    <w:p w14:paraId="08F97397" w14:textId="77777777" w:rsidR="00D73605" w:rsidRPr="009D20BB" w:rsidRDefault="00D73605" w:rsidP="00355BE6">
      <w:pPr>
        <w:pStyle w:val="EndnoteText"/>
        <w:ind w:left="450" w:hanging="450"/>
        <w:rPr>
          <w:rFonts w:asciiTheme="minorHAnsi" w:hAnsiTheme="minorHAnsi" w:cstheme="minorHAnsi"/>
          <w:sz w:val="18"/>
          <w:szCs w:val="18"/>
        </w:rPr>
      </w:pPr>
      <w:r w:rsidRPr="009D20BB">
        <w:rPr>
          <w:rStyle w:val="EndnoteReference"/>
          <w:rFonts w:asciiTheme="minorHAnsi" w:hAnsiTheme="minorHAnsi" w:cstheme="minorHAnsi"/>
          <w:sz w:val="18"/>
          <w:szCs w:val="18"/>
        </w:rPr>
        <w:endnoteRef/>
      </w:r>
      <w:r w:rsidRPr="009D20BB">
        <w:rPr>
          <w:rFonts w:asciiTheme="minorHAnsi" w:hAnsiTheme="minorHAnsi" w:cstheme="minorHAnsi"/>
          <w:sz w:val="18"/>
          <w:szCs w:val="18"/>
        </w:rPr>
        <w:t xml:space="preserve"> ESCAP (2020). </w:t>
      </w:r>
      <w:hyperlink r:id="rId2" w:history="1">
        <w:r w:rsidRPr="009D20BB">
          <w:rPr>
            <w:rStyle w:val="Hyperlink"/>
            <w:rFonts w:asciiTheme="minorHAnsi" w:hAnsiTheme="minorHAnsi" w:cstheme="minorHAnsi"/>
            <w:sz w:val="18"/>
            <w:szCs w:val="18"/>
          </w:rPr>
          <w:t>COVID Report</w:t>
        </w:r>
      </w:hyperlink>
      <w:r w:rsidRPr="009D20BB">
        <w:rPr>
          <w:rFonts w:asciiTheme="minorHAnsi" w:hAnsiTheme="minorHAnsi" w:cstheme="minorHAnsi"/>
          <w:sz w:val="18"/>
          <w:szCs w:val="18"/>
        </w:rPr>
        <w:t xml:space="preserve">. </w:t>
      </w:r>
    </w:p>
  </w:endnote>
  <w:endnote w:id="4">
    <w:p w14:paraId="76942CA3" w14:textId="77777777" w:rsidR="00216D8A" w:rsidRDefault="00216D8A" w:rsidP="00216D8A">
      <w:pPr>
        <w:pStyle w:val="EndnoteText"/>
      </w:pPr>
      <w:r w:rsidRPr="008F3617">
        <w:rPr>
          <w:rStyle w:val="EndnoteReference"/>
          <w:sz w:val="18"/>
          <w:szCs w:val="18"/>
        </w:rPr>
        <w:endnoteRef/>
      </w:r>
      <w:r w:rsidRPr="008F3617">
        <w:rPr>
          <w:sz w:val="18"/>
          <w:szCs w:val="18"/>
        </w:rPr>
        <w:t xml:space="preserve"> UN Special Rapporteur: Agro-ecology is the answer</w:t>
      </w:r>
    </w:p>
  </w:endnote>
  <w:endnote w:id="5">
    <w:p w14:paraId="2D8159D5" w14:textId="77777777" w:rsidR="00216D8A" w:rsidRPr="00DE4481" w:rsidRDefault="00216D8A" w:rsidP="00216D8A">
      <w:pPr>
        <w:pStyle w:val="EndnoteText"/>
        <w:rPr>
          <w:sz w:val="18"/>
          <w:szCs w:val="18"/>
        </w:rPr>
      </w:pPr>
      <w:r w:rsidRPr="00DE4481">
        <w:rPr>
          <w:rStyle w:val="EndnoteReference"/>
          <w:sz w:val="18"/>
          <w:szCs w:val="18"/>
        </w:rPr>
        <w:endnoteRef/>
      </w:r>
      <w:r w:rsidRPr="00DE4481">
        <w:rPr>
          <w:sz w:val="18"/>
          <w:szCs w:val="18"/>
        </w:rPr>
        <w:t xml:space="preserve"> FAO/ IFAD/WFP (2014). </w:t>
      </w:r>
      <w:hyperlink r:id="rId3" w:history="1">
        <w:r w:rsidRPr="00DE4481">
          <w:rPr>
            <w:rStyle w:val="Hyperlink"/>
            <w:sz w:val="18"/>
            <w:szCs w:val="18"/>
          </w:rPr>
          <w:t>The State of Food Insecurity in the World 2014: Strengthening the Enabling Environment for Food Security and Nutrition</w:t>
        </w:r>
      </w:hyperlink>
      <w:r w:rsidRPr="00DE4481">
        <w:rPr>
          <w:sz w:val="18"/>
          <w:szCs w:val="18"/>
        </w:rPr>
        <w:t xml:space="preserve">.  </w:t>
      </w:r>
    </w:p>
  </w:endnote>
  <w:endnote w:id="6">
    <w:p w14:paraId="56601A84" w14:textId="77777777" w:rsidR="00216D8A" w:rsidRDefault="00216D8A" w:rsidP="00216D8A">
      <w:pPr>
        <w:pStyle w:val="EndnoteText"/>
      </w:pPr>
      <w:r w:rsidRPr="00006B7E">
        <w:rPr>
          <w:rStyle w:val="EndnoteReference"/>
          <w:sz w:val="18"/>
          <w:szCs w:val="18"/>
        </w:rPr>
        <w:endnoteRef/>
      </w:r>
      <w:r w:rsidRPr="00006B7E">
        <w:rPr>
          <w:sz w:val="18"/>
          <w:szCs w:val="18"/>
        </w:rPr>
        <w:t xml:space="preserve"> </w:t>
      </w:r>
      <w:bookmarkStart w:id="1" w:name="_Hlk44182051"/>
      <w:r w:rsidRPr="00006B7E">
        <w:rPr>
          <w:sz w:val="18"/>
          <w:szCs w:val="18"/>
        </w:rPr>
        <w:t xml:space="preserve">ADB (2013). </w:t>
      </w:r>
      <w:hyperlink r:id="rId4" w:history="1">
        <w:r w:rsidRPr="00006B7E">
          <w:rPr>
            <w:rStyle w:val="Hyperlink"/>
            <w:sz w:val="18"/>
            <w:szCs w:val="18"/>
          </w:rPr>
          <w:t>Gender Equality and Food Security-Women’s Empowerment as a Tool Against Hunger</w:t>
        </w:r>
      </w:hyperlink>
      <w:r w:rsidRPr="00006B7E">
        <w:rPr>
          <w:sz w:val="18"/>
          <w:szCs w:val="18"/>
        </w:rPr>
        <w:t>.</w:t>
      </w:r>
      <w:bookmarkEnd w:id="1"/>
    </w:p>
  </w:endnote>
  <w:endnote w:id="7">
    <w:p w14:paraId="3538493F" w14:textId="77777777" w:rsidR="00D73605" w:rsidRDefault="00D73605" w:rsidP="006D0C89">
      <w:pPr>
        <w:pStyle w:val="EndnoteText"/>
      </w:pPr>
      <w:r>
        <w:rPr>
          <w:rStyle w:val="EndnoteReference"/>
        </w:rPr>
        <w:endnoteRef/>
      </w:r>
      <w:r>
        <w:t xml:space="preserve"> </w:t>
      </w:r>
      <w:r w:rsidRPr="00290311">
        <w:rPr>
          <w:sz w:val="18"/>
          <w:szCs w:val="18"/>
        </w:rPr>
        <w:t>APRECM (2020), Position paper on Entry Point 3</w:t>
      </w:r>
      <w:r>
        <w:rPr>
          <w:sz w:val="18"/>
          <w:szCs w:val="18"/>
        </w:rPr>
        <w:t>: Food Systems and Nutrition Patterns.</w:t>
      </w:r>
    </w:p>
  </w:endnote>
  <w:endnote w:id="8">
    <w:p w14:paraId="7817B1F2" w14:textId="1DA878A5" w:rsidR="00D73605" w:rsidRPr="0000367A" w:rsidRDefault="00D73605" w:rsidP="00DA34CC">
      <w:pPr>
        <w:pStyle w:val="EndnoteText"/>
      </w:pPr>
      <w:r w:rsidRPr="0000367A">
        <w:rPr>
          <w:rStyle w:val="EndnoteReference"/>
          <w:sz w:val="18"/>
          <w:szCs w:val="18"/>
        </w:rPr>
        <w:endnoteRef/>
      </w:r>
      <w:r w:rsidRPr="0000367A">
        <w:rPr>
          <w:sz w:val="18"/>
          <w:szCs w:val="18"/>
        </w:rPr>
        <w:t xml:space="preserve"> ADB (2013). Gender Equality and Food Security-Women’s Empowerment as a Tool Against Hunger.</w:t>
      </w:r>
    </w:p>
  </w:endnote>
  <w:endnote w:id="9">
    <w:p w14:paraId="693F7643" w14:textId="77777777" w:rsidR="00D73605" w:rsidRPr="0000367A" w:rsidRDefault="00D73605" w:rsidP="00F54CE5">
      <w:pPr>
        <w:pStyle w:val="EndnoteText"/>
        <w:rPr>
          <w:sz w:val="18"/>
          <w:szCs w:val="18"/>
        </w:rPr>
      </w:pPr>
      <w:r w:rsidRPr="0000367A">
        <w:rPr>
          <w:rStyle w:val="EndnoteReference"/>
          <w:sz w:val="18"/>
          <w:szCs w:val="18"/>
        </w:rPr>
        <w:endnoteRef/>
      </w:r>
      <w:r w:rsidRPr="0000367A">
        <w:rPr>
          <w:sz w:val="18"/>
          <w:szCs w:val="18"/>
        </w:rPr>
        <w:t xml:space="preserve"> ADB (2013). </w:t>
      </w:r>
      <w:hyperlink r:id="rId5" w:history="1">
        <w:r w:rsidRPr="0000367A">
          <w:rPr>
            <w:rStyle w:val="Hyperlink"/>
            <w:sz w:val="18"/>
            <w:szCs w:val="18"/>
          </w:rPr>
          <w:t>Food security in Asia and the Pacific</w:t>
        </w:r>
      </w:hyperlink>
      <w:r w:rsidRPr="0000367A">
        <w:rPr>
          <w:sz w:val="18"/>
          <w:szCs w:val="18"/>
        </w:rPr>
        <w:t>.</w:t>
      </w:r>
    </w:p>
  </w:endnote>
  <w:endnote w:id="10">
    <w:p w14:paraId="5D4BAA8D" w14:textId="49DE1556" w:rsidR="00D73605" w:rsidRPr="0000367A" w:rsidRDefault="00D73605">
      <w:pPr>
        <w:pStyle w:val="EndnoteText"/>
      </w:pPr>
      <w:r w:rsidRPr="0000367A">
        <w:rPr>
          <w:rStyle w:val="EndnoteReference"/>
        </w:rPr>
        <w:endnoteRef/>
      </w:r>
      <w:r w:rsidRPr="0000367A">
        <w:t xml:space="preserve"> </w:t>
      </w:r>
      <w:r w:rsidRPr="0000367A">
        <w:rPr>
          <w:sz w:val="18"/>
          <w:szCs w:val="18"/>
        </w:rPr>
        <w:t xml:space="preserve">ADB (2013). </w:t>
      </w:r>
      <w:hyperlink r:id="rId6" w:history="1">
        <w:r w:rsidRPr="0000367A">
          <w:rPr>
            <w:rStyle w:val="Hyperlink"/>
            <w:sz w:val="18"/>
            <w:szCs w:val="18"/>
          </w:rPr>
          <w:t>Gender Equality and Food Security-Women’s Empowerment as a Tool Against Hunger</w:t>
        </w:r>
      </w:hyperlink>
      <w:r w:rsidRPr="0000367A">
        <w:rPr>
          <w:sz w:val="18"/>
          <w:szCs w:val="18"/>
        </w:rPr>
        <w:t>.</w:t>
      </w:r>
    </w:p>
  </w:endnote>
  <w:endnote w:id="11">
    <w:p w14:paraId="423754AA" w14:textId="3BB29E26" w:rsidR="00D73605" w:rsidRPr="0000367A" w:rsidRDefault="00D73605" w:rsidP="001E3F34">
      <w:pPr>
        <w:pStyle w:val="EndnoteText"/>
      </w:pPr>
      <w:r w:rsidRPr="0000367A">
        <w:rPr>
          <w:rStyle w:val="EndnoteReference"/>
          <w:sz w:val="18"/>
          <w:szCs w:val="18"/>
        </w:rPr>
        <w:endnoteRef/>
      </w:r>
      <w:r w:rsidRPr="0000367A">
        <w:rPr>
          <w:sz w:val="18"/>
          <w:szCs w:val="18"/>
        </w:rPr>
        <w:t xml:space="preserve"> Ibid.</w:t>
      </w:r>
    </w:p>
  </w:endnote>
  <w:endnote w:id="12">
    <w:p w14:paraId="6BB85068" w14:textId="5308E5DC" w:rsidR="00D73605" w:rsidRPr="0000367A" w:rsidRDefault="00D73605" w:rsidP="00263FA4">
      <w:pPr>
        <w:pStyle w:val="EndnoteText"/>
      </w:pPr>
      <w:r w:rsidRPr="0000367A">
        <w:rPr>
          <w:rStyle w:val="EndnoteReference"/>
          <w:sz w:val="18"/>
          <w:szCs w:val="18"/>
        </w:rPr>
        <w:endnoteRef/>
      </w:r>
      <w:r w:rsidRPr="0000367A">
        <w:rPr>
          <w:sz w:val="18"/>
          <w:szCs w:val="18"/>
        </w:rPr>
        <w:t xml:space="preserve"> Ibid</w:t>
      </w:r>
    </w:p>
  </w:endnote>
  <w:endnote w:id="13">
    <w:p w14:paraId="2E698071" w14:textId="77777777" w:rsidR="00D73605" w:rsidRPr="002F351D" w:rsidRDefault="00D73605" w:rsidP="008A086F">
      <w:pPr>
        <w:pStyle w:val="EndnoteText"/>
        <w:rPr>
          <w:sz w:val="18"/>
          <w:szCs w:val="18"/>
        </w:rPr>
      </w:pPr>
      <w:r w:rsidRPr="0000367A">
        <w:rPr>
          <w:rStyle w:val="EndnoteReference"/>
          <w:sz w:val="18"/>
          <w:szCs w:val="18"/>
        </w:rPr>
        <w:endnoteRef/>
      </w:r>
      <w:r w:rsidRPr="0000367A">
        <w:rPr>
          <w:sz w:val="18"/>
          <w:szCs w:val="18"/>
        </w:rPr>
        <w:t xml:space="preserve"> FAO</w:t>
      </w:r>
      <w:r w:rsidRPr="002F351D">
        <w:rPr>
          <w:sz w:val="18"/>
          <w:szCs w:val="18"/>
        </w:rPr>
        <w:t xml:space="preserve"> </w:t>
      </w:r>
      <w:r>
        <w:rPr>
          <w:sz w:val="18"/>
          <w:szCs w:val="18"/>
        </w:rPr>
        <w:t xml:space="preserve">(2012). </w:t>
      </w:r>
      <w:hyperlink r:id="rId7" w:tgtFrame="_blank" w:tooltip="Opens external link in new window" w:history="1">
        <w:r w:rsidRPr="003F4455">
          <w:rPr>
            <w:rStyle w:val="Hyperlink"/>
            <w:sz w:val="18"/>
            <w:szCs w:val="18"/>
          </w:rPr>
          <w:t>The Voluntary Guidelines on the Responsible Governance of Tenure of Land, Fisheries and Forests in the Context of National Food Security</w:t>
        </w:r>
      </w:hyperlink>
      <w:r>
        <w:rPr>
          <w:sz w:val="18"/>
          <w:szCs w:val="18"/>
        </w:rPr>
        <w:t>.</w:t>
      </w:r>
    </w:p>
  </w:endnote>
  <w:endnote w:id="14">
    <w:p w14:paraId="151231C3" w14:textId="77777777" w:rsidR="00D73605" w:rsidRDefault="00D73605" w:rsidP="000F64C7">
      <w:pPr>
        <w:pStyle w:val="EndnoteText"/>
      </w:pPr>
      <w:r w:rsidRPr="00210072">
        <w:rPr>
          <w:rStyle w:val="EndnoteReference"/>
          <w:sz w:val="18"/>
          <w:szCs w:val="18"/>
        </w:rPr>
        <w:endnoteRef/>
      </w:r>
      <w:r w:rsidRPr="00210072">
        <w:rPr>
          <w:sz w:val="18"/>
          <w:szCs w:val="18"/>
        </w:rPr>
        <w:t xml:space="preserve"> UN Session Report, 53</w:t>
      </w:r>
      <w:r w:rsidRPr="00210072">
        <w:rPr>
          <w:sz w:val="18"/>
          <w:szCs w:val="18"/>
          <w:vertAlign w:val="superscript"/>
        </w:rPr>
        <w:t>rd</w:t>
      </w:r>
      <w:r w:rsidRPr="00210072">
        <w:rPr>
          <w:sz w:val="18"/>
          <w:szCs w:val="18"/>
        </w:rPr>
        <w:t xml:space="preserve"> CPD</w:t>
      </w:r>
      <w:r>
        <w:rPr>
          <w:sz w:val="18"/>
          <w:szCs w:val="18"/>
        </w:rPr>
        <w:t xml:space="preserve"> (30 March- 03 April 2020)</w:t>
      </w:r>
      <w:r w:rsidRPr="00210072">
        <w:rPr>
          <w:sz w:val="18"/>
          <w:szCs w:val="18"/>
        </w:rPr>
        <w:t xml:space="preserve">, </w:t>
      </w:r>
      <w:hyperlink r:id="rId8" w:history="1">
        <w:r w:rsidRPr="00210072">
          <w:rPr>
            <w:rStyle w:val="Hyperlink"/>
            <w:sz w:val="18"/>
            <w:szCs w:val="18"/>
          </w:rPr>
          <w:t>Programmes and interventions for the implementation of the Programme of Action of the International Conference on Population and Development in the context of population, food security, nutrition and sustainable development</w:t>
        </w:r>
      </w:hyperlink>
      <w:r w:rsidRPr="00210072">
        <w:rPr>
          <w:sz w:val="18"/>
          <w:szCs w:val="18"/>
        </w:rPr>
        <w:t>.</w:t>
      </w:r>
    </w:p>
  </w:endnote>
  <w:endnote w:id="15">
    <w:p w14:paraId="0EC8DB0E" w14:textId="77777777" w:rsidR="00D73605" w:rsidRPr="007D73CF" w:rsidRDefault="00D73605" w:rsidP="00952E0D">
      <w:pPr>
        <w:pStyle w:val="EndnoteText"/>
        <w:rPr>
          <w:sz w:val="18"/>
          <w:szCs w:val="18"/>
        </w:rPr>
      </w:pPr>
      <w:r w:rsidRPr="007D73CF">
        <w:rPr>
          <w:rStyle w:val="EndnoteReference"/>
          <w:sz w:val="18"/>
          <w:szCs w:val="18"/>
        </w:rPr>
        <w:endnoteRef/>
      </w:r>
      <w:r w:rsidRPr="007D73CF">
        <w:rPr>
          <w:sz w:val="18"/>
          <w:szCs w:val="18"/>
        </w:rPr>
        <w:t xml:space="preserve"> UNDP (2014). </w:t>
      </w:r>
    </w:p>
  </w:endnote>
  <w:endnote w:id="16">
    <w:p w14:paraId="0F90066E" w14:textId="77777777" w:rsidR="00084C6D" w:rsidRDefault="00084C6D" w:rsidP="00084C6D">
      <w:pPr>
        <w:pStyle w:val="EndnoteText"/>
      </w:pPr>
      <w:r w:rsidRPr="004A3FD3">
        <w:rPr>
          <w:rStyle w:val="EndnoteReference"/>
          <w:sz w:val="18"/>
          <w:szCs w:val="18"/>
        </w:rPr>
        <w:endnoteRef/>
      </w:r>
      <w:r w:rsidRPr="004A3FD3">
        <w:rPr>
          <w:sz w:val="18"/>
          <w:szCs w:val="18"/>
        </w:rPr>
        <w:t xml:space="preserve"> </w:t>
      </w:r>
      <w:r w:rsidRPr="00290311">
        <w:rPr>
          <w:sz w:val="18"/>
          <w:szCs w:val="18"/>
        </w:rPr>
        <w:t xml:space="preserve">ESCAP Statistical Online Database. Available at </w:t>
      </w:r>
      <w:hyperlink r:id="rId9" w:history="1">
        <w:r w:rsidRPr="00290311">
          <w:rPr>
            <w:rStyle w:val="Hyperlink"/>
            <w:sz w:val="18"/>
            <w:szCs w:val="18"/>
          </w:rPr>
          <w:t>http://data.unescap.org/escap_stat/</w:t>
        </w:r>
      </w:hyperlink>
    </w:p>
  </w:endnote>
  <w:endnote w:id="17">
    <w:p w14:paraId="01226F15" w14:textId="77777777" w:rsidR="0066160A" w:rsidRPr="00290311" w:rsidRDefault="0066160A" w:rsidP="0066160A">
      <w:pPr>
        <w:pStyle w:val="EndnoteText"/>
        <w:rPr>
          <w:sz w:val="18"/>
          <w:szCs w:val="18"/>
        </w:rPr>
      </w:pPr>
      <w:r w:rsidRPr="00290311">
        <w:rPr>
          <w:rStyle w:val="EndnoteReference"/>
          <w:sz w:val="18"/>
          <w:szCs w:val="18"/>
        </w:rPr>
        <w:endnoteRef/>
      </w:r>
      <w:r w:rsidRPr="00290311">
        <w:rPr>
          <w:sz w:val="18"/>
          <w:szCs w:val="18"/>
        </w:rPr>
        <w:t xml:space="preserve"> UN</w:t>
      </w:r>
      <w:r>
        <w:rPr>
          <w:sz w:val="18"/>
          <w:szCs w:val="18"/>
        </w:rPr>
        <w:t xml:space="preserve"> WOMEN</w:t>
      </w:r>
      <w:r w:rsidRPr="00290311">
        <w:rPr>
          <w:sz w:val="18"/>
          <w:szCs w:val="18"/>
        </w:rPr>
        <w:t xml:space="preserve">/ ADB (2018). </w:t>
      </w:r>
      <w:hyperlink r:id="rId10" w:history="1">
        <w:r w:rsidRPr="00290311">
          <w:rPr>
            <w:rStyle w:val="Hyperlink"/>
            <w:sz w:val="18"/>
            <w:szCs w:val="18"/>
          </w:rPr>
          <w:t>Gender Equality and the Sustainable Development Goals in Asia Pacific</w:t>
        </w:r>
      </w:hyperlink>
      <w:r w:rsidRPr="00290311">
        <w:rPr>
          <w:sz w:val="18"/>
          <w:szCs w:val="18"/>
        </w:rPr>
        <w:t xml:space="preserve">. </w:t>
      </w:r>
    </w:p>
  </w:endnote>
  <w:endnote w:id="18">
    <w:p w14:paraId="210C260A" w14:textId="77777777" w:rsidR="0066160A" w:rsidRPr="00E00739" w:rsidRDefault="0066160A" w:rsidP="0066160A">
      <w:pPr>
        <w:pStyle w:val="EndnoteText"/>
        <w:rPr>
          <w:sz w:val="18"/>
          <w:szCs w:val="18"/>
        </w:rPr>
      </w:pPr>
      <w:r w:rsidRPr="00E00739">
        <w:rPr>
          <w:rStyle w:val="EndnoteReference"/>
          <w:sz w:val="18"/>
          <w:szCs w:val="18"/>
        </w:rPr>
        <w:endnoteRef/>
      </w:r>
      <w:r w:rsidRPr="00F8548F">
        <w:rPr>
          <w:sz w:val="18"/>
          <w:szCs w:val="18"/>
        </w:rPr>
        <w:t xml:space="preserve"> </w:t>
      </w:r>
      <w:r>
        <w:rPr>
          <w:sz w:val="18"/>
          <w:szCs w:val="18"/>
        </w:rPr>
        <w:t xml:space="preserve">Lancet (2019). </w:t>
      </w:r>
      <w:r w:rsidRPr="00F8548F">
        <w:rPr>
          <w:sz w:val="18"/>
          <w:szCs w:val="18"/>
        </w:rPr>
        <w:t xml:space="preserve">Health effects of dietary risks in 195 countries, 1990–2017: </w:t>
      </w:r>
      <w:r>
        <w:rPr>
          <w:sz w:val="18"/>
          <w:szCs w:val="18"/>
        </w:rPr>
        <w:t>A</w:t>
      </w:r>
      <w:r w:rsidRPr="00F8548F">
        <w:rPr>
          <w:sz w:val="18"/>
          <w:szCs w:val="18"/>
        </w:rPr>
        <w:t xml:space="preserve"> systematic analysis for the Global Burden of Disease Study 2017</w:t>
      </w:r>
      <w:r>
        <w:rPr>
          <w:sz w:val="18"/>
          <w:szCs w:val="18"/>
        </w:rPr>
        <w:t>.</w:t>
      </w:r>
    </w:p>
  </w:endnote>
  <w:endnote w:id="19">
    <w:p w14:paraId="6A1C03F4" w14:textId="77777777" w:rsidR="0066160A" w:rsidRDefault="0066160A" w:rsidP="0066160A">
      <w:pPr>
        <w:pStyle w:val="EndnoteText"/>
      </w:pPr>
      <w:r w:rsidRPr="00210072">
        <w:rPr>
          <w:rStyle w:val="EndnoteReference"/>
          <w:sz w:val="18"/>
          <w:szCs w:val="18"/>
        </w:rPr>
        <w:endnoteRef/>
      </w:r>
      <w:r w:rsidRPr="00210072">
        <w:rPr>
          <w:sz w:val="18"/>
          <w:szCs w:val="18"/>
        </w:rPr>
        <w:t xml:space="preserve"> UN Session Report, 53</w:t>
      </w:r>
      <w:r w:rsidRPr="00210072">
        <w:rPr>
          <w:sz w:val="18"/>
          <w:szCs w:val="18"/>
          <w:vertAlign w:val="superscript"/>
        </w:rPr>
        <w:t>rd</w:t>
      </w:r>
      <w:r w:rsidRPr="00210072">
        <w:rPr>
          <w:sz w:val="18"/>
          <w:szCs w:val="18"/>
        </w:rPr>
        <w:t xml:space="preserve"> CPD</w:t>
      </w:r>
      <w:r>
        <w:rPr>
          <w:sz w:val="18"/>
          <w:szCs w:val="18"/>
        </w:rPr>
        <w:t xml:space="preserve"> (30 March- 03 April 2020)</w:t>
      </w:r>
      <w:r w:rsidRPr="00210072">
        <w:rPr>
          <w:sz w:val="18"/>
          <w:szCs w:val="18"/>
        </w:rPr>
        <w:t xml:space="preserve">, </w:t>
      </w:r>
      <w:hyperlink r:id="rId11" w:history="1">
        <w:r w:rsidRPr="00210072">
          <w:rPr>
            <w:rStyle w:val="Hyperlink"/>
            <w:sz w:val="18"/>
            <w:szCs w:val="18"/>
          </w:rPr>
          <w:t>Programmes and interventions for the implementation of the Programme of Action of the International Conference on Population and Development in the context of population, food security, nutrition and sustainable development</w:t>
        </w:r>
      </w:hyperlink>
      <w:r w:rsidRPr="00210072">
        <w:rPr>
          <w:sz w:val="18"/>
          <w:szCs w:val="18"/>
        </w:rPr>
        <w:t>.</w:t>
      </w:r>
    </w:p>
  </w:endnote>
  <w:endnote w:id="20">
    <w:p w14:paraId="252F9086" w14:textId="77777777" w:rsidR="004B3341" w:rsidRPr="00DE4481" w:rsidRDefault="004B3341" w:rsidP="004B3341">
      <w:pPr>
        <w:pStyle w:val="EndnoteText"/>
        <w:rPr>
          <w:sz w:val="18"/>
          <w:szCs w:val="18"/>
        </w:rPr>
      </w:pPr>
      <w:r w:rsidRPr="00DE4481">
        <w:rPr>
          <w:rStyle w:val="EndnoteReference"/>
          <w:sz w:val="18"/>
          <w:szCs w:val="18"/>
        </w:rPr>
        <w:endnoteRef/>
      </w:r>
      <w:r w:rsidRPr="00DE4481">
        <w:rPr>
          <w:sz w:val="18"/>
          <w:szCs w:val="18"/>
        </w:rPr>
        <w:t xml:space="preserve"> FAO/ IFAD/WFP (2014). </w:t>
      </w:r>
      <w:hyperlink r:id="rId12" w:history="1">
        <w:r w:rsidRPr="00DE4481">
          <w:rPr>
            <w:rStyle w:val="Hyperlink"/>
            <w:sz w:val="18"/>
            <w:szCs w:val="18"/>
          </w:rPr>
          <w:t>The State of Food Insecurity in the World 2014: Strengthening the Enabling Environment for Food Security and Nutrition</w:t>
        </w:r>
      </w:hyperlink>
      <w:r w:rsidRPr="00DE4481">
        <w:rPr>
          <w:sz w:val="18"/>
          <w:szCs w:val="18"/>
        </w:rPr>
        <w:t xml:space="preserve">.  </w:t>
      </w:r>
    </w:p>
  </w:endnote>
  <w:endnote w:id="21">
    <w:p w14:paraId="5EE70622" w14:textId="7EB0464C" w:rsidR="008A0080" w:rsidRDefault="008A0080">
      <w:pPr>
        <w:pStyle w:val="EndnoteText"/>
      </w:pPr>
      <w:r>
        <w:rPr>
          <w:rStyle w:val="EndnoteReference"/>
        </w:rPr>
        <w:endnoteRef/>
      </w:r>
      <w:r>
        <w:t xml:space="preserve"> ESCAP (2020) </w:t>
      </w:r>
      <w:hyperlink r:id="rId13" w:anchor="page=12" w:history="1">
        <w:r w:rsidRPr="008A0080">
          <w:rPr>
            <w:rStyle w:val="Hyperlink"/>
          </w:rPr>
          <w:t>Asia and the Pacific SDG Progress Report</w:t>
        </w:r>
      </w:hyperlink>
    </w:p>
  </w:endnote>
  <w:endnote w:id="22">
    <w:p w14:paraId="611BF67A" w14:textId="77777777" w:rsidR="0052253E" w:rsidRPr="00290311" w:rsidRDefault="0052253E" w:rsidP="0052253E">
      <w:pPr>
        <w:pStyle w:val="EndnoteText"/>
        <w:ind w:left="270" w:hanging="270"/>
        <w:rPr>
          <w:sz w:val="18"/>
          <w:szCs w:val="18"/>
        </w:rPr>
      </w:pPr>
      <w:r w:rsidRPr="00290311">
        <w:rPr>
          <w:rStyle w:val="EndnoteReference"/>
          <w:sz w:val="18"/>
          <w:szCs w:val="18"/>
        </w:rPr>
        <w:endnoteRef/>
      </w:r>
      <w:r w:rsidRPr="00290311">
        <w:rPr>
          <w:sz w:val="18"/>
          <w:szCs w:val="18"/>
        </w:rPr>
        <w:t xml:space="preserve"> </w:t>
      </w:r>
      <w:r w:rsidRPr="00821D48">
        <w:rPr>
          <w:sz w:val="18"/>
          <w:szCs w:val="18"/>
        </w:rPr>
        <w:t>Matthias Helble and Kris Francisco, “The imminent obesity crisis in Asia and</w:t>
      </w:r>
      <w:r>
        <w:rPr>
          <w:sz w:val="18"/>
          <w:szCs w:val="18"/>
        </w:rPr>
        <w:t xml:space="preserve"> </w:t>
      </w:r>
      <w:r w:rsidRPr="00821D48">
        <w:rPr>
          <w:sz w:val="18"/>
          <w:szCs w:val="18"/>
        </w:rPr>
        <w:t>the Pacific: first cost estimates”, ADBI Working Paper Series, No. 743 (Tokyo,</w:t>
      </w:r>
      <w:r>
        <w:rPr>
          <w:sz w:val="18"/>
          <w:szCs w:val="18"/>
        </w:rPr>
        <w:t xml:space="preserve"> </w:t>
      </w:r>
      <w:r w:rsidRPr="00821D48">
        <w:rPr>
          <w:sz w:val="18"/>
          <w:szCs w:val="18"/>
        </w:rPr>
        <w:t>Asian Development Bank Institute, 2017).</w:t>
      </w:r>
    </w:p>
  </w:endnote>
  <w:endnote w:id="23">
    <w:p w14:paraId="1575BB03" w14:textId="77777777" w:rsidR="00503C7C" w:rsidRDefault="00503C7C" w:rsidP="00503C7C">
      <w:pPr>
        <w:pStyle w:val="EndnoteText"/>
        <w:rPr>
          <w:sz w:val="18"/>
          <w:szCs w:val="18"/>
        </w:rPr>
      </w:pPr>
      <w:r w:rsidRPr="004A3FD3">
        <w:rPr>
          <w:rStyle w:val="EndnoteReference"/>
          <w:sz w:val="18"/>
          <w:szCs w:val="18"/>
        </w:rPr>
        <w:endnoteRef/>
      </w:r>
      <w:r w:rsidRPr="004A3FD3">
        <w:rPr>
          <w:sz w:val="18"/>
          <w:szCs w:val="18"/>
        </w:rPr>
        <w:t xml:space="preserve"> ADB/ FAO (2013). </w:t>
      </w:r>
      <w:hyperlink r:id="rId14" w:history="1">
        <w:r w:rsidRPr="004A3FD3">
          <w:rPr>
            <w:rStyle w:val="Hyperlink"/>
            <w:sz w:val="18"/>
            <w:szCs w:val="18"/>
          </w:rPr>
          <w:t>Gender equality and food security—</w:t>
        </w:r>
        <w:r>
          <w:rPr>
            <w:rStyle w:val="Hyperlink"/>
            <w:sz w:val="18"/>
            <w:szCs w:val="18"/>
          </w:rPr>
          <w:t>Women</w:t>
        </w:r>
        <w:r w:rsidRPr="004A3FD3">
          <w:rPr>
            <w:rStyle w:val="Hyperlink"/>
            <w:sz w:val="18"/>
            <w:szCs w:val="18"/>
          </w:rPr>
          <w:t>’s empowerment as a tool against hunger</w:t>
        </w:r>
      </w:hyperlink>
      <w:r w:rsidRPr="004A3FD3">
        <w:rPr>
          <w:sz w:val="18"/>
          <w:szCs w:val="18"/>
        </w:rPr>
        <w:t>.</w:t>
      </w:r>
    </w:p>
    <w:p w14:paraId="6094205B" w14:textId="77777777" w:rsidR="00503C7C" w:rsidRDefault="00503C7C" w:rsidP="00503C7C">
      <w:pPr>
        <w:pStyle w:val="EndnoteText"/>
        <w:rPr>
          <w:sz w:val="18"/>
          <w:szCs w:val="18"/>
        </w:rPr>
      </w:pPr>
    </w:p>
    <w:p w14:paraId="2DAA1ABA" w14:textId="63086199" w:rsidR="00503C7C" w:rsidRDefault="00503C7C" w:rsidP="00503C7C">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D80C4" w14:textId="20233865" w:rsidR="00DB27D8" w:rsidRDefault="00DB27D8">
    <w:pPr>
      <w:pStyle w:val="Footer"/>
    </w:pPr>
    <w:r>
      <w:rPr>
        <w:noProof/>
        <w:lang w:val="en-GB" w:eastAsia="en-GB"/>
      </w:rPr>
      <w:drawing>
        <wp:anchor distT="0" distB="0" distL="114300" distR="114300" simplePos="0" relativeHeight="251661312" behindDoc="1" locked="0" layoutInCell="1" allowOverlap="1" wp14:anchorId="02373810" wp14:editId="6DA19C18">
          <wp:simplePos x="0" y="0"/>
          <wp:positionH relativeFrom="margin">
            <wp:posOffset>2638425</wp:posOffset>
          </wp:positionH>
          <wp:positionV relativeFrom="paragraph">
            <wp:posOffset>179435</wp:posOffset>
          </wp:positionV>
          <wp:extent cx="1083310" cy="485954"/>
          <wp:effectExtent l="0" t="0" r="2540" b="9525"/>
          <wp:wrapNone/>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Horizontal tagline@300x.jpg"/>
                  <pic:cNvPicPr/>
                </pic:nvPicPr>
                <pic:blipFill>
                  <a:blip r:embed="rId1">
                    <a:extLst>
                      <a:ext uri="{28A0092B-C50C-407E-A947-70E740481C1C}">
                        <a14:useLocalDpi xmlns:a14="http://schemas.microsoft.com/office/drawing/2010/main" val="0"/>
                      </a:ext>
                    </a:extLst>
                  </a:blip>
                  <a:stretch>
                    <a:fillRect/>
                  </a:stretch>
                </pic:blipFill>
                <pic:spPr>
                  <a:xfrm>
                    <a:off x="0" y="0"/>
                    <a:ext cx="1090402" cy="48913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184A7" w14:textId="77777777" w:rsidR="00EB37C9" w:rsidRDefault="00EB37C9" w:rsidP="006809C6">
      <w:pPr>
        <w:spacing w:after="0"/>
      </w:pPr>
      <w:r>
        <w:separator/>
      </w:r>
    </w:p>
  </w:footnote>
  <w:footnote w:type="continuationSeparator" w:id="0">
    <w:p w14:paraId="71C97853" w14:textId="77777777" w:rsidR="00EB37C9" w:rsidRDefault="00EB37C9" w:rsidP="006809C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9604E" w14:textId="77777777" w:rsidR="006132F1" w:rsidRDefault="006132F1" w:rsidP="006132F1">
    <w:pPr>
      <w:pStyle w:val="Header"/>
      <w:jc w:val="center"/>
    </w:pPr>
    <w:r>
      <w:rPr>
        <w:noProof/>
        <w:lang w:val="en-GB" w:eastAsia="en-GB"/>
      </w:rPr>
      <w:drawing>
        <wp:anchor distT="0" distB="0" distL="114300" distR="114300" simplePos="0" relativeHeight="251659264" behindDoc="1" locked="0" layoutInCell="1" allowOverlap="1" wp14:anchorId="46B07018" wp14:editId="79C927CD">
          <wp:simplePos x="0" y="0"/>
          <wp:positionH relativeFrom="page">
            <wp:align>left</wp:align>
          </wp:positionH>
          <wp:positionV relativeFrom="paragraph">
            <wp:posOffset>-581025</wp:posOffset>
          </wp:positionV>
          <wp:extent cx="1038225" cy="1276687"/>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opped-rcem-logo-main-long1.png"/>
                  <pic:cNvPicPr/>
                </pic:nvPicPr>
                <pic:blipFill rotWithShape="1">
                  <a:blip r:embed="rId1">
                    <a:extLst>
                      <a:ext uri="{28A0092B-C50C-407E-A947-70E740481C1C}">
                        <a14:useLocalDpi xmlns:a14="http://schemas.microsoft.com/office/drawing/2010/main" val="0"/>
                      </a:ext>
                    </a:extLst>
                  </a:blip>
                  <a:srcRect r="84656"/>
                  <a:stretch/>
                </pic:blipFill>
                <pic:spPr bwMode="auto">
                  <a:xfrm>
                    <a:off x="0" y="0"/>
                    <a:ext cx="1038225" cy="12766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94E3AC8" w14:textId="5ABD2EB7" w:rsidR="00154FB4" w:rsidRPr="006132F1" w:rsidRDefault="00154FB4" w:rsidP="006132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09E6"/>
    <w:multiLevelType w:val="hybridMultilevel"/>
    <w:tmpl w:val="B8E0DDF6"/>
    <w:lvl w:ilvl="0" w:tplc="BDA4B898">
      <w:start w:val="1"/>
      <w:numFmt w:val="bullet"/>
      <w:lvlText w:val=""/>
      <w:lvlJc w:val="left"/>
      <w:pPr>
        <w:ind w:left="360" w:hanging="360"/>
      </w:pPr>
      <w:rPr>
        <w:rFonts w:ascii="Symbol" w:hAnsi="Symbo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24589E"/>
    <w:multiLevelType w:val="hybridMultilevel"/>
    <w:tmpl w:val="C6344A2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A4A7163"/>
    <w:multiLevelType w:val="hybridMultilevel"/>
    <w:tmpl w:val="4FECA48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C30A7C"/>
    <w:multiLevelType w:val="hybridMultilevel"/>
    <w:tmpl w:val="0AC47816"/>
    <w:lvl w:ilvl="0" w:tplc="C0840F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D54272"/>
    <w:multiLevelType w:val="multilevel"/>
    <w:tmpl w:val="915874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E846104"/>
    <w:multiLevelType w:val="hybridMultilevel"/>
    <w:tmpl w:val="9A2C1BAA"/>
    <w:lvl w:ilvl="0" w:tplc="BDA4B898">
      <w:start w:val="1"/>
      <w:numFmt w:val="bullet"/>
      <w:lvlText w:val=""/>
      <w:lvlJc w:val="left"/>
      <w:pPr>
        <w:ind w:left="762" w:hanging="360"/>
      </w:pPr>
      <w:rPr>
        <w:rFonts w:ascii="Symbol" w:hAnsi="Symbol" w:hint="default"/>
        <w:b w:val="0"/>
      </w:rPr>
    </w:lvl>
    <w:lvl w:ilvl="1" w:tplc="08090003">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cs="Wingdings" w:hint="default"/>
      </w:rPr>
    </w:lvl>
    <w:lvl w:ilvl="3" w:tplc="08090001" w:tentative="1">
      <w:start w:val="1"/>
      <w:numFmt w:val="bullet"/>
      <w:lvlText w:val=""/>
      <w:lvlJc w:val="left"/>
      <w:pPr>
        <w:ind w:left="2922" w:hanging="360"/>
      </w:pPr>
      <w:rPr>
        <w:rFonts w:ascii="Symbol" w:hAnsi="Symbol" w:cs="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cs="Wingdings" w:hint="default"/>
      </w:rPr>
    </w:lvl>
    <w:lvl w:ilvl="6" w:tplc="08090001" w:tentative="1">
      <w:start w:val="1"/>
      <w:numFmt w:val="bullet"/>
      <w:lvlText w:val=""/>
      <w:lvlJc w:val="left"/>
      <w:pPr>
        <w:ind w:left="5082" w:hanging="360"/>
      </w:pPr>
      <w:rPr>
        <w:rFonts w:ascii="Symbol" w:hAnsi="Symbol" w:cs="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cs="Wingdings" w:hint="default"/>
      </w:rPr>
    </w:lvl>
  </w:abstractNum>
  <w:abstractNum w:abstractNumId="6" w15:restartNumberingAfterBreak="0">
    <w:nsid w:val="24D23450"/>
    <w:multiLevelType w:val="hybridMultilevel"/>
    <w:tmpl w:val="5BC02ECC"/>
    <w:lvl w:ilvl="0" w:tplc="BDA4B898">
      <w:start w:val="1"/>
      <w:numFmt w:val="bullet"/>
      <w:lvlText w:val=""/>
      <w:lvlJc w:val="left"/>
      <w:pPr>
        <w:ind w:left="360" w:hanging="360"/>
      </w:pPr>
      <w:rPr>
        <w:rFonts w:ascii="Symbol" w:hAnsi="Symbo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2843A53"/>
    <w:multiLevelType w:val="hybridMultilevel"/>
    <w:tmpl w:val="6A12B3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874EDA"/>
    <w:multiLevelType w:val="multilevel"/>
    <w:tmpl w:val="70DAC2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2D1973"/>
    <w:multiLevelType w:val="multilevel"/>
    <w:tmpl w:val="18EC5A86"/>
    <w:lvl w:ilvl="0">
      <w:start w:val="1"/>
      <w:numFmt w:val="lowerRoman"/>
      <w:lvlText w:val="%1."/>
      <w:lvlJc w:val="right"/>
      <w:pPr>
        <w:ind w:left="360" w:hanging="360"/>
      </w:pPr>
      <w:rPr>
        <w:b w:val="0"/>
        <w:i w:val="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8325C99"/>
    <w:multiLevelType w:val="multilevel"/>
    <w:tmpl w:val="3D369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7D2F1D"/>
    <w:multiLevelType w:val="hybridMultilevel"/>
    <w:tmpl w:val="0B6476D4"/>
    <w:lvl w:ilvl="0" w:tplc="438EF75C">
      <w:start w:val="1"/>
      <w:numFmt w:val="lowerRoman"/>
      <w:lvlText w:val="%1."/>
      <w:lvlJc w:val="right"/>
      <w:pPr>
        <w:ind w:left="720" w:hanging="360"/>
      </w:pPr>
      <w:rPr>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A24A8A"/>
    <w:multiLevelType w:val="multilevel"/>
    <w:tmpl w:val="9E50FA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92826A2"/>
    <w:multiLevelType w:val="hybridMultilevel"/>
    <w:tmpl w:val="6C3CC732"/>
    <w:lvl w:ilvl="0" w:tplc="B972C120">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0D1628"/>
    <w:multiLevelType w:val="hybridMultilevel"/>
    <w:tmpl w:val="C62E87DE"/>
    <w:lvl w:ilvl="0" w:tplc="BDA4B898">
      <w:start w:val="1"/>
      <w:numFmt w:val="bullet"/>
      <w:lvlText w:val=""/>
      <w:lvlJc w:val="left"/>
      <w:pPr>
        <w:ind w:left="360" w:hanging="360"/>
      </w:pPr>
      <w:rPr>
        <w:rFonts w:ascii="Symbol" w:hAnsi="Symbol" w:hint="default"/>
        <w:b w:val="0"/>
        <w:color w:val="auto"/>
      </w:rPr>
    </w:lvl>
    <w:lvl w:ilvl="1" w:tplc="08090003">
      <w:start w:val="1"/>
      <w:numFmt w:val="bullet"/>
      <w:lvlText w:val="o"/>
      <w:lvlJc w:val="left"/>
      <w:pPr>
        <w:ind w:left="90" w:hanging="360"/>
      </w:pPr>
      <w:rPr>
        <w:rFonts w:ascii="Courier New" w:hAnsi="Courier New" w:cs="Courier New" w:hint="default"/>
      </w:rPr>
    </w:lvl>
    <w:lvl w:ilvl="2" w:tplc="08090005">
      <w:start w:val="1"/>
      <w:numFmt w:val="bullet"/>
      <w:lvlText w:val=""/>
      <w:lvlJc w:val="left"/>
      <w:pPr>
        <w:ind w:left="810" w:hanging="360"/>
      </w:pPr>
      <w:rPr>
        <w:rFonts w:ascii="Wingdings" w:hAnsi="Wingdings" w:hint="default"/>
      </w:rPr>
    </w:lvl>
    <w:lvl w:ilvl="3" w:tplc="08090001" w:tentative="1">
      <w:start w:val="1"/>
      <w:numFmt w:val="bullet"/>
      <w:lvlText w:val=""/>
      <w:lvlJc w:val="left"/>
      <w:pPr>
        <w:ind w:left="1530" w:hanging="360"/>
      </w:pPr>
      <w:rPr>
        <w:rFonts w:ascii="Symbol" w:hAnsi="Symbol" w:hint="default"/>
      </w:rPr>
    </w:lvl>
    <w:lvl w:ilvl="4" w:tplc="08090003" w:tentative="1">
      <w:start w:val="1"/>
      <w:numFmt w:val="bullet"/>
      <w:lvlText w:val="o"/>
      <w:lvlJc w:val="left"/>
      <w:pPr>
        <w:ind w:left="2250" w:hanging="360"/>
      </w:pPr>
      <w:rPr>
        <w:rFonts w:ascii="Courier New" w:hAnsi="Courier New" w:cs="Courier New" w:hint="default"/>
      </w:rPr>
    </w:lvl>
    <w:lvl w:ilvl="5" w:tplc="08090005" w:tentative="1">
      <w:start w:val="1"/>
      <w:numFmt w:val="bullet"/>
      <w:lvlText w:val=""/>
      <w:lvlJc w:val="left"/>
      <w:pPr>
        <w:ind w:left="2970" w:hanging="360"/>
      </w:pPr>
      <w:rPr>
        <w:rFonts w:ascii="Wingdings" w:hAnsi="Wingdings" w:hint="default"/>
      </w:rPr>
    </w:lvl>
    <w:lvl w:ilvl="6" w:tplc="08090001" w:tentative="1">
      <w:start w:val="1"/>
      <w:numFmt w:val="bullet"/>
      <w:lvlText w:val=""/>
      <w:lvlJc w:val="left"/>
      <w:pPr>
        <w:ind w:left="3690" w:hanging="360"/>
      </w:pPr>
      <w:rPr>
        <w:rFonts w:ascii="Symbol" w:hAnsi="Symbol" w:hint="default"/>
      </w:rPr>
    </w:lvl>
    <w:lvl w:ilvl="7" w:tplc="08090003" w:tentative="1">
      <w:start w:val="1"/>
      <w:numFmt w:val="bullet"/>
      <w:lvlText w:val="o"/>
      <w:lvlJc w:val="left"/>
      <w:pPr>
        <w:ind w:left="4410" w:hanging="360"/>
      </w:pPr>
      <w:rPr>
        <w:rFonts w:ascii="Courier New" w:hAnsi="Courier New" w:cs="Courier New" w:hint="default"/>
      </w:rPr>
    </w:lvl>
    <w:lvl w:ilvl="8" w:tplc="08090005" w:tentative="1">
      <w:start w:val="1"/>
      <w:numFmt w:val="bullet"/>
      <w:lvlText w:val=""/>
      <w:lvlJc w:val="left"/>
      <w:pPr>
        <w:ind w:left="5130" w:hanging="360"/>
      </w:pPr>
      <w:rPr>
        <w:rFonts w:ascii="Wingdings" w:hAnsi="Wingdings" w:hint="default"/>
      </w:rPr>
    </w:lvl>
  </w:abstractNum>
  <w:abstractNum w:abstractNumId="15" w15:restartNumberingAfterBreak="0">
    <w:nsid w:val="77CA6244"/>
    <w:multiLevelType w:val="hybridMultilevel"/>
    <w:tmpl w:val="238C1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9459E3"/>
    <w:multiLevelType w:val="hybridMultilevel"/>
    <w:tmpl w:val="3266D22C"/>
    <w:lvl w:ilvl="0" w:tplc="0809000F">
      <w:start w:val="1"/>
      <w:numFmt w:val="decimal"/>
      <w:lvlText w:val="%1."/>
      <w:lvlJc w:val="left"/>
      <w:pPr>
        <w:ind w:left="765" w:hanging="360"/>
      </w:pPr>
      <w:rPr>
        <w:rFont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2"/>
  </w:num>
  <w:num w:numId="2">
    <w:abstractNumId w:val="16"/>
  </w:num>
  <w:num w:numId="3">
    <w:abstractNumId w:val="4"/>
  </w:num>
  <w:num w:numId="4">
    <w:abstractNumId w:val="12"/>
  </w:num>
  <w:num w:numId="5">
    <w:abstractNumId w:val="13"/>
  </w:num>
  <w:num w:numId="6">
    <w:abstractNumId w:val="11"/>
  </w:num>
  <w:num w:numId="7">
    <w:abstractNumId w:val="14"/>
  </w:num>
  <w:num w:numId="8">
    <w:abstractNumId w:val="5"/>
  </w:num>
  <w:num w:numId="9">
    <w:abstractNumId w:val="10"/>
  </w:num>
  <w:num w:numId="10">
    <w:abstractNumId w:val="9"/>
  </w:num>
  <w:num w:numId="11">
    <w:abstractNumId w:val="3"/>
  </w:num>
  <w:num w:numId="12">
    <w:abstractNumId w:val="8"/>
  </w:num>
  <w:num w:numId="13">
    <w:abstractNumId w:val="7"/>
  </w:num>
  <w:num w:numId="14">
    <w:abstractNumId w:val="6"/>
  </w:num>
  <w:num w:numId="15">
    <w:abstractNumId w:val="15"/>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EA0"/>
    <w:rsid w:val="00002CC1"/>
    <w:rsid w:val="0000367A"/>
    <w:rsid w:val="00006B7E"/>
    <w:rsid w:val="0002140B"/>
    <w:rsid w:val="0002365E"/>
    <w:rsid w:val="000238DA"/>
    <w:rsid w:val="0002463F"/>
    <w:rsid w:val="00024A61"/>
    <w:rsid w:val="0002649D"/>
    <w:rsid w:val="00030E3B"/>
    <w:rsid w:val="000337EB"/>
    <w:rsid w:val="00034247"/>
    <w:rsid w:val="000352FE"/>
    <w:rsid w:val="000366F2"/>
    <w:rsid w:val="00037DA7"/>
    <w:rsid w:val="00041718"/>
    <w:rsid w:val="00041C65"/>
    <w:rsid w:val="00041D86"/>
    <w:rsid w:val="00045F9D"/>
    <w:rsid w:val="00051EE3"/>
    <w:rsid w:val="00072A8D"/>
    <w:rsid w:val="00072B27"/>
    <w:rsid w:val="00072F2A"/>
    <w:rsid w:val="0007382D"/>
    <w:rsid w:val="00073AA2"/>
    <w:rsid w:val="00077F5D"/>
    <w:rsid w:val="00080519"/>
    <w:rsid w:val="00080D1B"/>
    <w:rsid w:val="00081E2E"/>
    <w:rsid w:val="000845DD"/>
    <w:rsid w:val="00084C6D"/>
    <w:rsid w:val="00086332"/>
    <w:rsid w:val="00086BCC"/>
    <w:rsid w:val="00090456"/>
    <w:rsid w:val="00092302"/>
    <w:rsid w:val="000928E3"/>
    <w:rsid w:val="00094E30"/>
    <w:rsid w:val="00096804"/>
    <w:rsid w:val="000A25E7"/>
    <w:rsid w:val="000A43C4"/>
    <w:rsid w:val="000A7C3C"/>
    <w:rsid w:val="000B037B"/>
    <w:rsid w:val="000B6F53"/>
    <w:rsid w:val="000B7AA4"/>
    <w:rsid w:val="000C0F9A"/>
    <w:rsid w:val="000C78E1"/>
    <w:rsid w:val="000C7C62"/>
    <w:rsid w:val="000D140F"/>
    <w:rsid w:val="000D3E98"/>
    <w:rsid w:val="000D5381"/>
    <w:rsid w:val="000D732E"/>
    <w:rsid w:val="000E04F1"/>
    <w:rsid w:val="000E094C"/>
    <w:rsid w:val="000E1917"/>
    <w:rsid w:val="000E2340"/>
    <w:rsid w:val="000E331F"/>
    <w:rsid w:val="000E4C64"/>
    <w:rsid w:val="000E7167"/>
    <w:rsid w:val="000E7CD3"/>
    <w:rsid w:val="000F2A96"/>
    <w:rsid w:val="000F35A1"/>
    <w:rsid w:val="000F36AD"/>
    <w:rsid w:val="000F4E89"/>
    <w:rsid w:val="000F64C7"/>
    <w:rsid w:val="000F687E"/>
    <w:rsid w:val="000F7F77"/>
    <w:rsid w:val="00100E1A"/>
    <w:rsid w:val="001013D2"/>
    <w:rsid w:val="0010565D"/>
    <w:rsid w:val="00107225"/>
    <w:rsid w:val="0011772D"/>
    <w:rsid w:val="00117852"/>
    <w:rsid w:val="00117ED1"/>
    <w:rsid w:val="001208D0"/>
    <w:rsid w:val="001216D6"/>
    <w:rsid w:val="00122601"/>
    <w:rsid w:val="00127159"/>
    <w:rsid w:val="0013085E"/>
    <w:rsid w:val="0013283D"/>
    <w:rsid w:val="00132D7C"/>
    <w:rsid w:val="001375A5"/>
    <w:rsid w:val="00137C55"/>
    <w:rsid w:val="00140D67"/>
    <w:rsid w:val="00143ADE"/>
    <w:rsid w:val="00144CBA"/>
    <w:rsid w:val="00146642"/>
    <w:rsid w:val="00146890"/>
    <w:rsid w:val="00151120"/>
    <w:rsid w:val="001515AC"/>
    <w:rsid w:val="00151F01"/>
    <w:rsid w:val="00154FB4"/>
    <w:rsid w:val="00161665"/>
    <w:rsid w:val="0016542F"/>
    <w:rsid w:val="00166571"/>
    <w:rsid w:val="00166CE0"/>
    <w:rsid w:val="0017009E"/>
    <w:rsid w:val="00171C20"/>
    <w:rsid w:val="00171CDA"/>
    <w:rsid w:val="00180E29"/>
    <w:rsid w:val="00185BDF"/>
    <w:rsid w:val="00187370"/>
    <w:rsid w:val="00192D88"/>
    <w:rsid w:val="00192DE5"/>
    <w:rsid w:val="0019365A"/>
    <w:rsid w:val="00193F5D"/>
    <w:rsid w:val="00194651"/>
    <w:rsid w:val="001965CC"/>
    <w:rsid w:val="00196F2A"/>
    <w:rsid w:val="001A1A04"/>
    <w:rsid w:val="001A208F"/>
    <w:rsid w:val="001A2A8B"/>
    <w:rsid w:val="001B04C9"/>
    <w:rsid w:val="001B04E3"/>
    <w:rsid w:val="001B1580"/>
    <w:rsid w:val="001B2A8B"/>
    <w:rsid w:val="001B301A"/>
    <w:rsid w:val="001B341D"/>
    <w:rsid w:val="001C5396"/>
    <w:rsid w:val="001C6EE8"/>
    <w:rsid w:val="001D0296"/>
    <w:rsid w:val="001D0D29"/>
    <w:rsid w:val="001D10C1"/>
    <w:rsid w:val="001D180D"/>
    <w:rsid w:val="001D2B7B"/>
    <w:rsid w:val="001D632A"/>
    <w:rsid w:val="001E0CE2"/>
    <w:rsid w:val="001E1576"/>
    <w:rsid w:val="001E21C0"/>
    <w:rsid w:val="001E3F34"/>
    <w:rsid w:val="001E42CB"/>
    <w:rsid w:val="001F3B91"/>
    <w:rsid w:val="001F5E17"/>
    <w:rsid w:val="001F7E8F"/>
    <w:rsid w:val="00203FA0"/>
    <w:rsid w:val="00205EF5"/>
    <w:rsid w:val="00206B65"/>
    <w:rsid w:val="002075B0"/>
    <w:rsid w:val="00210072"/>
    <w:rsid w:val="0021078F"/>
    <w:rsid w:val="00210E49"/>
    <w:rsid w:val="00210E61"/>
    <w:rsid w:val="00211321"/>
    <w:rsid w:val="00213251"/>
    <w:rsid w:val="0021695D"/>
    <w:rsid w:val="00216D8A"/>
    <w:rsid w:val="00217B01"/>
    <w:rsid w:val="002251CC"/>
    <w:rsid w:val="00225495"/>
    <w:rsid w:val="002279D1"/>
    <w:rsid w:val="00227D8C"/>
    <w:rsid w:val="00230C47"/>
    <w:rsid w:val="0023229B"/>
    <w:rsid w:val="00233539"/>
    <w:rsid w:val="002336B9"/>
    <w:rsid w:val="0023458E"/>
    <w:rsid w:val="00236EA0"/>
    <w:rsid w:val="00242BDB"/>
    <w:rsid w:val="00243037"/>
    <w:rsid w:val="00245CE8"/>
    <w:rsid w:val="002527C5"/>
    <w:rsid w:val="00252A6A"/>
    <w:rsid w:val="002555DC"/>
    <w:rsid w:val="002618C3"/>
    <w:rsid w:val="00262B3D"/>
    <w:rsid w:val="0026346A"/>
    <w:rsid w:val="00263FA4"/>
    <w:rsid w:val="0027066D"/>
    <w:rsid w:val="00270DAE"/>
    <w:rsid w:val="00271A7B"/>
    <w:rsid w:val="00273247"/>
    <w:rsid w:val="00273FF7"/>
    <w:rsid w:val="0027758A"/>
    <w:rsid w:val="002807CD"/>
    <w:rsid w:val="0028105E"/>
    <w:rsid w:val="00281A6D"/>
    <w:rsid w:val="00282259"/>
    <w:rsid w:val="002829A0"/>
    <w:rsid w:val="00283156"/>
    <w:rsid w:val="00290311"/>
    <w:rsid w:val="00294629"/>
    <w:rsid w:val="00295C17"/>
    <w:rsid w:val="002A1E24"/>
    <w:rsid w:val="002A36F6"/>
    <w:rsid w:val="002A461F"/>
    <w:rsid w:val="002A4DE6"/>
    <w:rsid w:val="002A5B92"/>
    <w:rsid w:val="002A7BC7"/>
    <w:rsid w:val="002B32D7"/>
    <w:rsid w:val="002B3510"/>
    <w:rsid w:val="002B37B5"/>
    <w:rsid w:val="002B49D0"/>
    <w:rsid w:val="002B7FAF"/>
    <w:rsid w:val="002C276E"/>
    <w:rsid w:val="002C2F78"/>
    <w:rsid w:val="002C326B"/>
    <w:rsid w:val="002C4CCD"/>
    <w:rsid w:val="002C5239"/>
    <w:rsid w:val="002D234A"/>
    <w:rsid w:val="002D5829"/>
    <w:rsid w:val="002D6533"/>
    <w:rsid w:val="002D6CE9"/>
    <w:rsid w:val="002E4F9D"/>
    <w:rsid w:val="002F185E"/>
    <w:rsid w:val="00306065"/>
    <w:rsid w:val="003077A3"/>
    <w:rsid w:val="00314F80"/>
    <w:rsid w:val="00315549"/>
    <w:rsid w:val="00324713"/>
    <w:rsid w:val="00324B89"/>
    <w:rsid w:val="0032600C"/>
    <w:rsid w:val="00330846"/>
    <w:rsid w:val="0033417D"/>
    <w:rsid w:val="00336539"/>
    <w:rsid w:val="003507CF"/>
    <w:rsid w:val="003516D1"/>
    <w:rsid w:val="003552D1"/>
    <w:rsid w:val="00355BE6"/>
    <w:rsid w:val="0035633C"/>
    <w:rsid w:val="00356EAD"/>
    <w:rsid w:val="00357D8C"/>
    <w:rsid w:val="00360C3D"/>
    <w:rsid w:val="003629F5"/>
    <w:rsid w:val="00363AD8"/>
    <w:rsid w:val="00364151"/>
    <w:rsid w:val="0036484F"/>
    <w:rsid w:val="00366F07"/>
    <w:rsid w:val="0037057D"/>
    <w:rsid w:val="00371A9B"/>
    <w:rsid w:val="00371B6A"/>
    <w:rsid w:val="00375F77"/>
    <w:rsid w:val="00377727"/>
    <w:rsid w:val="00380E55"/>
    <w:rsid w:val="00382F07"/>
    <w:rsid w:val="00384CBE"/>
    <w:rsid w:val="00384DD2"/>
    <w:rsid w:val="003947E2"/>
    <w:rsid w:val="003958E7"/>
    <w:rsid w:val="003A21CC"/>
    <w:rsid w:val="003A5E17"/>
    <w:rsid w:val="003B05FE"/>
    <w:rsid w:val="003B0807"/>
    <w:rsid w:val="003B0BCE"/>
    <w:rsid w:val="003B1F86"/>
    <w:rsid w:val="003B593B"/>
    <w:rsid w:val="003B7F0D"/>
    <w:rsid w:val="003C1C3A"/>
    <w:rsid w:val="003C42B3"/>
    <w:rsid w:val="003C4D9C"/>
    <w:rsid w:val="003C4F39"/>
    <w:rsid w:val="003C7364"/>
    <w:rsid w:val="003E346F"/>
    <w:rsid w:val="003E7CB0"/>
    <w:rsid w:val="003F20A8"/>
    <w:rsid w:val="003F4455"/>
    <w:rsid w:val="003F7225"/>
    <w:rsid w:val="004037EB"/>
    <w:rsid w:val="004048E8"/>
    <w:rsid w:val="00405F07"/>
    <w:rsid w:val="00421577"/>
    <w:rsid w:val="00421F6E"/>
    <w:rsid w:val="00422B82"/>
    <w:rsid w:val="0042759E"/>
    <w:rsid w:val="004311D8"/>
    <w:rsid w:val="00431C63"/>
    <w:rsid w:val="00433DC0"/>
    <w:rsid w:val="00434128"/>
    <w:rsid w:val="00437FF6"/>
    <w:rsid w:val="00441659"/>
    <w:rsid w:val="0044274C"/>
    <w:rsid w:val="00443C35"/>
    <w:rsid w:val="00444A8B"/>
    <w:rsid w:val="00450354"/>
    <w:rsid w:val="00453209"/>
    <w:rsid w:val="0045473B"/>
    <w:rsid w:val="00454956"/>
    <w:rsid w:val="00480294"/>
    <w:rsid w:val="0048058E"/>
    <w:rsid w:val="00482F3F"/>
    <w:rsid w:val="0048551C"/>
    <w:rsid w:val="00485D54"/>
    <w:rsid w:val="004A0563"/>
    <w:rsid w:val="004A1443"/>
    <w:rsid w:val="004A3FD3"/>
    <w:rsid w:val="004A4D42"/>
    <w:rsid w:val="004A6EEA"/>
    <w:rsid w:val="004B06F7"/>
    <w:rsid w:val="004B132B"/>
    <w:rsid w:val="004B1C97"/>
    <w:rsid w:val="004B3341"/>
    <w:rsid w:val="004B5F9D"/>
    <w:rsid w:val="004C0067"/>
    <w:rsid w:val="004D30DB"/>
    <w:rsid w:val="004D5FC5"/>
    <w:rsid w:val="004E53D8"/>
    <w:rsid w:val="004E64D6"/>
    <w:rsid w:val="004E6BA2"/>
    <w:rsid w:val="004F036B"/>
    <w:rsid w:val="004F55E1"/>
    <w:rsid w:val="004F5AE3"/>
    <w:rsid w:val="004F63C6"/>
    <w:rsid w:val="00500F2F"/>
    <w:rsid w:val="00503C37"/>
    <w:rsid w:val="00503C7C"/>
    <w:rsid w:val="005110D3"/>
    <w:rsid w:val="00511212"/>
    <w:rsid w:val="00515824"/>
    <w:rsid w:val="00517BEC"/>
    <w:rsid w:val="005202BF"/>
    <w:rsid w:val="00520BD5"/>
    <w:rsid w:val="005213AC"/>
    <w:rsid w:val="0052253E"/>
    <w:rsid w:val="00522ACA"/>
    <w:rsid w:val="005251C9"/>
    <w:rsid w:val="005270CE"/>
    <w:rsid w:val="00527A81"/>
    <w:rsid w:val="0053112B"/>
    <w:rsid w:val="00533F5F"/>
    <w:rsid w:val="00536FB9"/>
    <w:rsid w:val="005407D4"/>
    <w:rsid w:val="00540CBE"/>
    <w:rsid w:val="00544092"/>
    <w:rsid w:val="005448EB"/>
    <w:rsid w:val="0054604D"/>
    <w:rsid w:val="00546D81"/>
    <w:rsid w:val="005502AE"/>
    <w:rsid w:val="00550A9F"/>
    <w:rsid w:val="005545DC"/>
    <w:rsid w:val="00555447"/>
    <w:rsid w:val="00556CFA"/>
    <w:rsid w:val="005608D4"/>
    <w:rsid w:val="0056303F"/>
    <w:rsid w:val="00565770"/>
    <w:rsid w:val="00565DD6"/>
    <w:rsid w:val="00570C41"/>
    <w:rsid w:val="00576A3B"/>
    <w:rsid w:val="00577095"/>
    <w:rsid w:val="00580053"/>
    <w:rsid w:val="00580D94"/>
    <w:rsid w:val="00582871"/>
    <w:rsid w:val="00585CD7"/>
    <w:rsid w:val="00586172"/>
    <w:rsid w:val="00591667"/>
    <w:rsid w:val="00591C33"/>
    <w:rsid w:val="00593DCF"/>
    <w:rsid w:val="0059465A"/>
    <w:rsid w:val="00594C93"/>
    <w:rsid w:val="00594F54"/>
    <w:rsid w:val="00596E6C"/>
    <w:rsid w:val="005A1457"/>
    <w:rsid w:val="005A2A79"/>
    <w:rsid w:val="005A2CAB"/>
    <w:rsid w:val="005A59F4"/>
    <w:rsid w:val="005A614C"/>
    <w:rsid w:val="005A7189"/>
    <w:rsid w:val="005A7BFC"/>
    <w:rsid w:val="005B0606"/>
    <w:rsid w:val="005B0D56"/>
    <w:rsid w:val="005B0FE2"/>
    <w:rsid w:val="005B1176"/>
    <w:rsid w:val="005B15A7"/>
    <w:rsid w:val="005B71DA"/>
    <w:rsid w:val="005C46EE"/>
    <w:rsid w:val="005C47E8"/>
    <w:rsid w:val="005D6BD4"/>
    <w:rsid w:val="005D7E6D"/>
    <w:rsid w:val="005E3631"/>
    <w:rsid w:val="005E657B"/>
    <w:rsid w:val="005E7A8E"/>
    <w:rsid w:val="005E7C94"/>
    <w:rsid w:val="005F2A05"/>
    <w:rsid w:val="005F3DAD"/>
    <w:rsid w:val="005F6A61"/>
    <w:rsid w:val="005F78A1"/>
    <w:rsid w:val="006018B6"/>
    <w:rsid w:val="00602422"/>
    <w:rsid w:val="00602909"/>
    <w:rsid w:val="00602B86"/>
    <w:rsid w:val="0061319B"/>
    <w:rsid w:val="006132F1"/>
    <w:rsid w:val="006139EC"/>
    <w:rsid w:val="0061624B"/>
    <w:rsid w:val="006168CC"/>
    <w:rsid w:val="00620AFB"/>
    <w:rsid w:val="006211DC"/>
    <w:rsid w:val="006213A3"/>
    <w:rsid w:val="006222CE"/>
    <w:rsid w:val="00623295"/>
    <w:rsid w:val="006242D8"/>
    <w:rsid w:val="00624463"/>
    <w:rsid w:val="00624BDA"/>
    <w:rsid w:val="00627B83"/>
    <w:rsid w:val="0063133C"/>
    <w:rsid w:val="0063344F"/>
    <w:rsid w:val="00633AD8"/>
    <w:rsid w:val="006378B8"/>
    <w:rsid w:val="00640F44"/>
    <w:rsid w:val="00643804"/>
    <w:rsid w:val="00643F4B"/>
    <w:rsid w:val="006440DD"/>
    <w:rsid w:val="00646945"/>
    <w:rsid w:val="006470AA"/>
    <w:rsid w:val="0064727E"/>
    <w:rsid w:val="006527C5"/>
    <w:rsid w:val="00653B65"/>
    <w:rsid w:val="006552EA"/>
    <w:rsid w:val="0066160A"/>
    <w:rsid w:val="0066184B"/>
    <w:rsid w:val="00662BF2"/>
    <w:rsid w:val="0066409D"/>
    <w:rsid w:val="0066437F"/>
    <w:rsid w:val="00667B0C"/>
    <w:rsid w:val="0067511F"/>
    <w:rsid w:val="00675EAF"/>
    <w:rsid w:val="00677F5E"/>
    <w:rsid w:val="00680652"/>
    <w:rsid w:val="006809C6"/>
    <w:rsid w:val="00682E33"/>
    <w:rsid w:val="006870BF"/>
    <w:rsid w:val="00691642"/>
    <w:rsid w:val="00695DF2"/>
    <w:rsid w:val="006A3F0A"/>
    <w:rsid w:val="006A4A88"/>
    <w:rsid w:val="006A50F1"/>
    <w:rsid w:val="006A7B36"/>
    <w:rsid w:val="006B0C7A"/>
    <w:rsid w:val="006B181C"/>
    <w:rsid w:val="006B3B9A"/>
    <w:rsid w:val="006C5155"/>
    <w:rsid w:val="006C55F3"/>
    <w:rsid w:val="006C563F"/>
    <w:rsid w:val="006D0C89"/>
    <w:rsid w:val="006D181C"/>
    <w:rsid w:val="006D1F45"/>
    <w:rsid w:val="006D330A"/>
    <w:rsid w:val="006F10D8"/>
    <w:rsid w:val="006F3F7C"/>
    <w:rsid w:val="007000C0"/>
    <w:rsid w:val="00701005"/>
    <w:rsid w:val="00710381"/>
    <w:rsid w:val="0071169A"/>
    <w:rsid w:val="00712A7F"/>
    <w:rsid w:val="00712E08"/>
    <w:rsid w:val="007143C5"/>
    <w:rsid w:val="007150CD"/>
    <w:rsid w:val="00716037"/>
    <w:rsid w:val="00722DE9"/>
    <w:rsid w:val="0072524F"/>
    <w:rsid w:val="0072722E"/>
    <w:rsid w:val="00731B4D"/>
    <w:rsid w:val="0073501B"/>
    <w:rsid w:val="00735EF3"/>
    <w:rsid w:val="00740A02"/>
    <w:rsid w:val="00742D25"/>
    <w:rsid w:val="00743FCA"/>
    <w:rsid w:val="0074629A"/>
    <w:rsid w:val="00746DE0"/>
    <w:rsid w:val="00750DAD"/>
    <w:rsid w:val="007511F8"/>
    <w:rsid w:val="007532FB"/>
    <w:rsid w:val="0075364E"/>
    <w:rsid w:val="00754838"/>
    <w:rsid w:val="007551CD"/>
    <w:rsid w:val="00755F4A"/>
    <w:rsid w:val="007570AD"/>
    <w:rsid w:val="0076437F"/>
    <w:rsid w:val="007644DE"/>
    <w:rsid w:val="0076522F"/>
    <w:rsid w:val="00765A0B"/>
    <w:rsid w:val="00770B4F"/>
    <w:rsid w:val="007710B5"/>
    <w:rsid w:val="0077148F"/>
    <w:rsid w:val="00772FCD"/>
    <w:rsid w:val="00774130"/>
    <w:rsid w:val="00776BE9"/>
    <w:rsid w:val="007770A8"/>
    <w:rsid w:val="00777DF2"/>
    <w:rsid w:val="00780965"/>
    <w:rsid w:val="00780E5A"/>
    <w:rsid w:val="00781065"/>
    <w:rsid w:val="00782560"/>
    <w:rsid w:val="007831DE"/>
    <w:rsid w:val="00785D41"/>
    <w:rsid w:val="00785EF9"/>
    <w:rsid w:val="00786AC1"/>
    <w:rsid w:val="007901F7"/>
    <w:rsid w:val="00790B61"/>
    <w:rsid w:val="00792C3C"/>
    <w:rsid w:val="007A012E"/>
    <w:rsid w:val="007A0EDA"/>
    <w:rsid w:val="007A1395"/>
    <w:rsid w:val="007A148D"/>
    <w:rsid w:val="007A1AB0"/>
    <w:rsid w:val="007A2D73"/>
    <w:rsid w:val="007A3A1D"/>
    <w:rsid w:val="007A49E0"/>
    <w:rsid w:val="007A5AB3"/>
    <w:rsid w:val="007B2680"/>
    <w:rsid w:val="007B37D1"/>
    <w:rsid w:val="007B392C"/>
    <w:rsid w:val="007B51E3"/>
    <w:rsid w:val="007C02EF"/>
    <w:rsid w:val="007C503A"/>
    <w:rsid w:val="007C6AD3"/>
    <w:rsid w:val="007C6DC6"/>
    <w:rsid w:val="007D10BA"/>
    <w:rsid w:val="007D1882"/>
    <w:rsid w:val="007D3D83"/>
    <w:rsid w:val="007D73CF"/>
    <w:rsid w:val="007E014F"/>
    <w:rsid w:val="007E6A15"/>
    <w:rsid w:val="007E6D33"/>
    <w:rsid w:val="007F07B5"/>
    <w:rsid w:val="007F4FE3"/>
    <w:rsid w:val="007F5D6D"/>
    <w:rsid w:val="007F7FF5"/>
    <w:rsid w:val="00800992"/>
    <w:rsid w:val="0080205E"/>
    <w:rsid w:val="00803855"/>
    <w:rsid w:val="00804A82"/>
    <w:rsid w:val="00804D21"/>
    <w:rsid w:val="0080558A"/>
    <w:rsid w:val="00806072"/>
    <w:rsid w:val="00811903"/>
    <w:rsid w:val="00811FE5"/>
    <w:rsid w:val="008121D1"/>
    <w:rsid w:val="00823B48"/>
    <w:rsid w:val="00824290"/>
    <w:rsid w:val="00825475"/>
    <w:rsid w:val="008257F8"/>
    <w:rsid w:val="008306B9"/>
    <w:rsid w:val="00841DCD"/>
    <w:rsid w:val="0084625D"/>
    <w:rsid w:val="00847B2C"/>
    <w:rsid w:val="00850ADA"/>
    <w:rsid w:val="00857459"/>
    <w:rsid w:val="00863050"/>
    <w:rsid w:val="00863D32"/>
    <w:rsid w:val="00864762"/>
    <w:rsid w:val="00865348"/>
    <w:rsid w:val="00870F0F"/>
    <w:rsid w:val="00872445"/>
    <w:rsid w:val="00881158"/>
    <w:rsid w:val="00882361"/>
    <w:rsid w:val="0088236D"/>
    <w:rsid w:val="008827B7"/>
    <w:rsid w:val="00882D63"/>
    <w:rsid w:val="00882E2D"/>
    <w:rsid w:val="0088366C"/>
    <w:rsid w:val="00884C86"/>
    <w:rsid w:val="008872CA"/>
    <w:rsid w:val="0089167F"/>
    <w:rsid w:val="00892B8F"/>
    <w:rsid w:val="00893AF7"/>
    <w:rsid w:val="008A0080"/>
    <w:rsid w:val="008A086F"/>
    <w:rsid w:val="008A12DD"/>
    <w:rsid w:val="008A2995"/>
    <w:rsid w:val="008A58BF"/>
    <w:rsid w:val="008A625C"/>
    <w:rsid w:val="008B1DCF"/>
    <w:rsid w:val="008B3839"/>
    <w:rsid w:val="008B457F"/>
    <w:rsid w:val="008B470D"/>
    <w:rsid w:val="008B4C44"/>
    <w:rsid w:val="008B53BE"/>
    <w:rsid w:val="008B552F"/>
    <w:rsid w:val="008B62A4"/>
    <w:rsid w:val="008C59F7"/>
    <w:rsid w:val="008C711A"/>
    <w:rsid w:val="008D07C3"/>
    <w:rsid w:val="008D155B"/>
    <w:rsid w:val="008D1FCB"/>
    <w:rsid w:val="008D6A21"/>
    <w:rsid w:val="008E2811"/>
    <w:rsid w:val="008F216F"/>
    <w:rsid w:val="008F3617"/>
    <w:rsid w:val="008F44FB"/>
    <w:rsid w:val="008F571C"/>
    <w:rsid w:val="008F6F1E"/>
    <w:rsid w:val="008F7E10"/>
    <w:rsid w:val="00901DB3"/>
    <w:rsid w:val="00902BF4"/>
    <w:rsid w:val="0090327F"/>
    <w:rsid w:val="00913215"/>
    <w:rsid w:val="00914D87"/>
    <w:rsid w:val="00931210"/>
    <w:rsid w:val="00932207"/>
    <w:rsid w:val="00933828"/>
    <w:rsid w:val="00935752"/>
    <w:rsid w:val="00937470"/>
    <w:rsid w:val="00937ECF"/>
    <w:rsid w:val="00941011"/>
    <w:rsid w:val="009412FC"/>
    <w:rsid w:val="00945750"/>
    <w:rsid w:val="00945A15"/>
    <w:rsid w:val="00950526"/>
    <w:rsid w:val="0095165A"/>
    <w:rsid w:val="00952D93"/>
    <w:rsid w:val="00952E0D"/>
    <w:rsid w:val="009546B2"/>
    <w:rsid w:val="009612CA"/>
    <w:rsid w:val="00961765"/>
    <w:rsid w:val="0096280C"/>
    <w:rsid w:val="0096426B"/>
    <w:rsid w:val="00965FC4"/>
    <w:rsid w:val="0096655D"/>
    <w:rsid w:val="0096765B"/>
    <w:rsid w:val="0097010E"/>
    <w:rsid w:val="00971465"/>
    <w:rsid w:val="00980752"/>
    <w:rsid w:val="00981362"/>
    <w:rsid w:val="00981867"/>
    <w:rsid w:val="009825CC"/>
    <w:rsid w:val="009866BC"/>
    <w:rsid w:val="00986A4C"/>
    <w:rsid w:val="00991AEA"/>
    <w:rsid w:val="009936CD"/>
    <w:rsid w:val="00995F3E"/>
    <w:rsid w:val="00996542"/>
    <w:rsid w:val="0099728E"/>
    <w:rsid w:val="009973B1"/>
    <w:rsid w:val="00997ED7"/>
    <w:rsid w:val="009A0BBB"/>
    <w:rsid w:val="009A0E20"/>
    <w:rsid w:val="009A3B77"/>
    <w:rsid w:val="009A410A"/>
    <w:rsid w:val="009A4990"/>
    <w:rsid w:val="009A53D9"/>
    <w:rsid w:val="009A54D0"/>
    <w:rsid w:val="009A5C13"/>
    <w:rsid w:val="009A6EE3"/>
    <w:rsid w:val="009A7F92"/>
    <w:rsid w:val="009B1032"/>
    <w:rsid w:val="009B2E9C"/>
    <w:rsid w:val="009D1F10"/>
    <w:rsid w:val="009D2851"/>
    <w:rsid w:val="009D32AE"/>
    <w:rsid w:val="009D42B4"/>
    <w:rsid w:val="009D4377"/>
    <w:rsid w:val="009D6DDD"/>
    <w:rsid w:val="009D713F"/>
    <w:rsid w:val="009E0938"/>
    <w:rsid w:val="009E288F"/>
    <w:rsid w:val="009E45F3"/>
    <w:rsid w:val="009E47EC"/>
    <w:rsid w:val="009F0D20"/>
    <w:rsid w:val="009F1EA7"/>
    <w:rsid w:val="009F2069"/>
    <w:rsid w:val="009F2845"/>
    <w:rsid w:val="009F5A9D"/>
    <w:rsid w:val="009F6139"/>
    <w:rsid w:val="009F7472"/>
    <w:rsid w:val="00A027D2"/>
    <w:rsid w:val="00A0451D"/>
    <w:rsid w:val="00A16A2F"/>
    <w:rsid w:val="00A17670"/>
    <w:rsid w:val="00A17CC2"/>
    <w:rsid w:val="00A20945"/>
    <w:rsid w:val="00A23C36"/>
    <w:rsid w:val="00A24185"/>
    <w:rsid w:val="00A321F3"/>
    <w:rsid w:val="00A36DA6"/>
    <w:rsid w:val="00A42CC8"/>
    <w:rsid w:val="00A5000A"/>
    <w:rsid w:val="00A50876"/>
    <w:rsid w:val="00A51713"/>
    <w:rsid w:val="00A60EF3"/>
    <w:rsid w:val="00A61175"/>
    <w:rsid w:val="00A6434F"/>
    <w:rsid w:val="00A7015D"/>
    <w:rsid w:val="00A76B60"/>
    <w:rsid w:val="00A84524"/>
    <w:rsid w:val="00A85A52"/>
    <w:rsid w:val="00A944C3"/>
    <w:rsid w:val="00A946F5"/>
    <w:rsid w:val="00A957E8"/>
    <w:rsid w:val="00A97CC4"/>
    <w:rsid w:val="00AA0815"/>
    <w:rsid w:val="00AA1897"/>
    <w:rsid w:val="00AA3915"/>
    <w:rsid w:val="00AA5E34"/>
    <w:rsid w:val="00AB09E5"/>
    <w:rsid w:val="00AC0DDB"/>
    <w:rsid w:val="00AC1746"/>
    <w:rsid w:val="00AC7912"/>
    <w:rsid w:val="00AD6105"/>
    <w:rsid w:val="00AD6CE4"/>
    <w:rsid w:val="00AD702B"/>
    <w:rsid w:val="00AE4AC6"/>
    <w:rsid w:val="00AE5B4B"/>
    <w:rsid w:val="00AE5D73"/>
    <w:rsid w:val="00AF5296"/>
    <w:rsid w:val="00AF57BC"/>
    <w:rsid w:val="00AF6C42"/>
    <w:rsid w:val="00B05B25"/>
    <w:rsid w:val="00B06D4D"/>
    <w:rsid w:val="00B1017C"/>
    <w:rsid w:val="00B11FD4"/>
    <w:rsid w:val="00B135C9"/>
    <w:rsid w:val="00B16FD8"/>
    <w:rsid w:val="00B178F5"/>
    <w:rsid w:val="00B227CC"/>
    <w:rsid w:val="00B23263"/>
    <w:rsid w:val="00B23BB2"/>
    <w:rsid w:val="00B24FF4"/>
    <w:rsid w:val="00B2611C"/>
    <w:rsid w:val="00B269E5"/>
    <w:rsid w:val="00B27A22"/>
    <w:rsid w:val="00B33879"/>
    <w:rsid w:val="00B346A8"/>
    <w:rsid w:val="00B35AF8"/>
    <w:rsid w:val="00B35C40"/>
    <w:rsid w:val="00B41C6F"/>
    <w:rsid w:val="00B438CC"/>
    <w:rsid w:val="00B43B7B"/>
    <w:rsid w:val="00B45D6C"/>
    <w:rsid w:val="00B50423"/>
    <w:rsid w:val="00B50B22"/>
    <w:rsid w:val="00B521F9"/>
    <w:rsid w:val="00B528EC"/>
    <w:rsid w:val="00B61806"/>
    <w:rsid w:val="00B67F0F"/>
    <w:rsid w:val="00B7016B"/>
    <w:rsid w:val="00B77B23"/>
    <w:rsid w:val="00B807D3"/>
    <w:rsid w:val="00B81EFB"/>
    <w:rsid w:val="00B8346A"/>
    <w:rsid w:val="00B85A6C"/>
    <w:rsid w:val="00B87D80"/>
    <w:rsid w:val="00B90D50"/>
    <w:rsid w:val="00B926FF"/>
    <w:rsid w:val="00B95462"/>
    <w:rsid w:val="00B96B1F"/>
    <w:rsid w:val="00BA430B"/>
    <w:rsid w:val="00BA48E6"/>
    <w:rsid w:val="00BB6698"/>
    <w:rsid w:val="00BC0760"/>
    <w:rsid w:val="00BC4BE3"/>
    <w:rsid w:val="00BC5C50"/>
    <w:rsid w:val="00BC6823"/>
    <w:rsid w:val="00BC6E99"/>
    <w:rsid w:val="00BD466A"/>
    <w:rsid w:val="00BD4B79"/>
    <w:rsid w:val="00BD772E"/>
    <w:rsid w:val="00BD7A6C"/>
    <w:rsid w:val="00BE0216"/>
    <w:rsid w:val="00BE2E67"/>
    <w:rsid w:val="00BE34E9"/>
    <w:rsid w:val="00BE67B8"/>
    <w:rsid w:val="00BF0D69"/>
    <w:rsid w:val="00BF0D8B"/>
    <w:rsid w:val="00BF18C2"/>
    <w:rsid w:val="00BF1BB8"/>
    <w:rsid w:val="00BF4D0F"/>
    <w:rsid w:val="00BF5D36"/>
    <w:rsid w:val="00BF634D"/>
    <w:rsid w:val="00BF674A"/>
    <w:rsid w:val="00BF6D91"/>
    <w:rsid w:val="00C02DE8"/>
    <w:rsid w:val="00C03B65"/>
    <w:rsid w:val="00C05C79"/>
    <w:rsid w:val="00C114D1"/>
    <w:rsid w:val="00C158A5"/>
    <w:rsid w:val="00C17E06"/>
    <w:rsid w:val="00C2055B"/>
    <w:rsid w:val="00C2241B"/>
    <w:rsid w:val="00C22FB2"/>
    <w:rsid w:val="00C24005"/>
    <w:rsid w:val="00C3055B"/>
    <w:rsid w:val="00C3103A"/>
    <w:rsid w:val="00C32FDD"/>
    <w:rsid w:val="00C33E0A"/>
    <w:rsid w:val="00C35FF8"/>
    <w:rsid w:val="00C4031B"/>
    <w:rsid w:val="00C52CDD"/>
    <w:rsid w:val="00C5348C"/>
    <w:rsid w:val="00C5463A"/>
    <w:rsid w:val="00C54974"/>
    <w:rsid w:val="00C54B21"/>
    <w:rsid w:val="00C54C63"/>
    <w:rsid w:val="00C61599"/>
    <w:rsid w:val="00C632D2"/>
    <w:rsid w:val="00C63D4E"/>
    <w:rsid w:val="00C64601"/>
    <w:rsid w:val="00C6526A"/>
    <w:rsid w:val="00C659FC"/>
    <w:rsid w:val="00C67A6E"/>
    <w:rsid w:val="00C71133"/>
    <w:rsid w:val="00C725B7"/>
    <w:rsid w:val="00C74505"/>
    <w:rsid w:val="00C753A8"/>
    <w:rsid w:val="00C77B09"/>
    <w:rsid w:val="00C80525"/>
    <w:rsid w:val="00C81767"/>
    <w:rsid w:val="00C82911"/>
    <w:rsid w:val="00C8468C"/>
    <w:rsid w:val="00C86538"/>
    <w:rsid w:val="00C92FB4"/>
    <w:rsid w:val="00C970E9"/>
    <w:rsid w:val="00C97D42"/>
    <w:rsid w:val="00CA4B03"/>
    <w:rsid w:val="00CA50CE"/>
    <w:rsid w:val="00CA54CE"/>
    <w:rsid w:val="00CA6F58"/>
    <w:rsid w:val="00CB1FF1"/>
    <w:rsid w:val="00CB5EC9"/>
    <w:rsid w:val="00CB6FA7"/>
    <w:rsid w:val="00CC107E"/>
    <w:rsid w:val="00CC26C1"/>
    <w:rsid w:val="00CC49DF"/>
    <w:rsid w:val="00CC5BF3"/>
    <w:rsid w:val="00CC61DC"/>
    <w:rsid w:val="00CD2693"/>
    <w:rsid w:val="00CD34EC"/>
    <w:rsid w:val="00CD3571"/>
    <w:rsid w:val="00CD3989"/>
    <w:rsid w:val="00CD5E94"/>
    <w:rsid w:val="00CD729C"/>
    <w:rsid w:val="00CE328C"/>
    <w:rsid w:val="00CE71F2"/>
    <w:rsid w:val="00CF1407"/>
    <w:rsid w:val="00CF1E54"/>
    <w:rsid w:val="00CF38D1"/>
    <w:rsid w:val="00CF3CBD"/>
    <w:rsid w:val="00D015B2"/>
    <w:rsid w:val="00D10801"/>
    <w:rsid w:val="00D140A9"/>
    <w:rsid w:val="00D17A89"/>
    <w:rsid w:val="00D17D24"/>
    <w:rsid w:val="00D2223C"/>
    <w:rsid w:val="00D22CE3"/>
    <w:rsid w:val="00D235F5"/>
    <w:rsid w:val="00D26588"/>
    <w:rsid w:val="00D323D3"/>
    <w:rsid w:val="00D32714"/>
    <w:rsid w:val="00D40F4D"/>
    <w:rsid w:val="00D41D2F"/>
    <w:rsid w:val="00D4695D"/>
    <w:rsid w:val="00D5251B"/>
    <w:rsid w:val="00D52BDE"/>
    <w:rsid w:val="00D57C40"/>
    <w:rsid w:val="00D60958"/>
    <w:rsid w:val="00D72129"/>
    <w:rsid w:val="00D73605"/>
    <w:rsid w:val="00D75115"/>
    <w:rsid w:val="00D83072"/>
    <w:rsid w:val="00D830F3"/>
    <w:rsid w:val="00D83DF6"/>
    <w:rsid w:val="00D85031"/>
    <w:rsid w:val="00D86F07"/>
    <w:rsid w:val="00D90DCB"/>
    <w:rsid w:val="00D92346"/>
    <w:rsid w:val="00D9298B"/>
    <w:rsid w:val="00DA034F"/>
    <w:rsid w:val="00DA0E2A"/>
    <w:rsid w:val="00DA13E8"/>
    <w:rsid w:val="00DA3138"/>
    <w:rsid w:val="00DA34CC"/>
    <w:rsid w:val="00DA38DB"/>
    <w:rsid w:val="00DA5B70"/>
    <w:rsid w:val="00DA6054"/>
    <w:rsid w:val="00DB0E05"/>
    <w:rsid w:val="00DB1BD3"/>
    <w:rsid w:val="00DB27D8"/>
    <w:rsid w:val="00DB648A"/>
    <w:rsid w:val="00DC0203"/>
    <w:rsid w:val="00DC1B96"/>
    <w:rsid w:val="00DC7286"/>
    <w:rsid w:val="00DD3BC1"/>
    <w:rsid w:val="00DD480C"/>
    <w:rsid w:val="00DE09F5"/>
    <w:rsid w:val="00DE268F"/>
    <w:rsid w:val="00DE3798"/>
    <w:rsid w:val="00DE40C7"/>
    <w:rsid w:val="00DE4481"/>
    <w:rsid w:val="00DE478F"/>
    <w:rsid w:val="00DE567E"/>
    <w:rsid w:val="00DE5C71"/>
    <w:rsid w:val="00DE6923"/>
    <w:rsid w:val="00DF5BBE"/>
    <w:rsid w:val="00DF5E0A"/>
    <w:rsid w:val="00E0008D"/>
    <w:rsid w:val="00E00739"/>
    <w:rsid w:val="00E01D45"/>
    <w:rsid w:val="00E02D4C"/>
    <w:rsid w:val="00E05557"/>
    <w:rsid w:val="00E05802"/>
    <w:rsid w:val="00E07FEA"/>
    <w:rsid w:val="00E11756"/>
    <w:rsid w:val="00E1296A"/>
    <w:rsid w:val="00E14FB4"/>
    <w:rsid w:val="00E16294"/>
    <w:rsid w:val="00E201E6"/>
    <w:rsid w:val="00E20249"/>
    <w:rsid w:val="00E23E4D"/>
    <w:rsid w:val="00E24F95"/>
    <w:rsid w:val="00E26248"/>
    <w:rsid w:val="00E264C4"/>
    <w:rsid w:val="00E265F7"/>
    <w:rsid w:val="00E27F10"/>
    <w:rsid w:val="00E30EA0"/>
    <w:rsid w:val="00E312C0"/>
    <w:rsid w:val="00E31A44"/>
    <w:rsid w:val="00E31D28"/>
    <w:rsid w:val="00E32916"/>
    <w:rsid w:val="00E32FC6"/>
    <w:rsid w:val="00E342EC"/>
    <w:rsid w:val="00E37587"/>
    <w:rsid w:val="00E43064"/>
    <w:rsid w:val="00E43294"/>
    <w:rsid w:val="00E45C87"/>
    <w:rsid w:val="00E52A40"/>
    <w:rsid w:val="00E53DF0"/>
    <w:rsid w:val="00E555D9"/>
    <w:rsid w:val="00E571DC"/>
    <w:rsid w:val="00E67E10"/>
    <w:rsid w:val="00E7022C"/>
    <w:rsid w:val="00E77B23"/>
    <w:rsid w:val="00E8265C"/>
    <w:rsid w:val="00E90AF2"/>
    <w:rsid w:val="00E9208F"/>
    <w:rsid w:val="00E930B9"/>
    <w:rsid w:val="00E93422"/>
    <w:rsid w:val="00E95B84"/>
    <w:rsid w:val="00E96220"/>
    <w:rsid w:val="00E970D7"/>
    <w:rsid w:val="00E97193"/>
    <w:rsid w:val="00EA5875"/>
    <w:rsid w:val="00EA624D"/>
    <w:rsid w:val="00EB0349"/>
    <w:rsid w:val="00EB08DD"/>
    <w:rsid w:val="00EB0ECE"/>
    <w:rsid w:val="00EB261B"/>
    <w:rsid w:val="00EB37C9"/>
    <w:rsid w:val="00EB6380"/>
    <w:rsid w:val="00EC793D"/>
    <w:rsid w:val="00EC7CB0"/>
    <w:rsid w:val="00ED3C29"/>
    <w:rsid w:val="00ED6403"/>
    <w:rsid w:val="00ED6EFD"/>
    <w:rsid w:val="00ED747A"/>
    <w:rsid w:val="00ED77E3"/>
    <w:rsid w:val="00EE28A6"/>
    <w:rsid w:val="00EE6B77"/>
    <w:rsid w:val="00EF70A0"/>
    <w:rsid w:val="00EF74A0"/>
    <w:rsid w:val="00EF7F92"/>
    <w:rsid w:val="00F12FEC"/>
    <w:rsid w:val="00F144D2"/>
    <w:rsid w:val="00F200A1"/>
    <w:rsid w:val="00F24D33"/>
    <w:rsid w:val="00F252A9"/>
    <w:rsid w:val="00F27CD7"/>
    <w:rsid w:val="00F31929"/>
    <w:rsid w:val="00F31957"/>
    <w:rsid w:val="00F33868"/>
    <w:rsid w:val="00F34C53"/>
    <w:rsid w:val="00F35D2F"/>
    <w:rsid w:val="00F3640D"/>
    <w:rsid w:val="00F3759C"/>
    <w:rsid w:val="00F378C6"/>
    <w:rsid w:val="00F40C81"/>
    <w:rsid w:val="00F43BA5"/>
    <w:rsid w:val="00F44EAD"/>
    <w:rsid w:val="00F529C9"/>
    <w:rsid w:val="00F52B5D"/>
    <w:rsid w:val="00F54CE5"/>
    <w:rsid w:val="00F60260"/>
    <w:rsid w:val="00F6140A"/>
    <w:rsid w:val="00F66EA0"/>
    <w:rsid w:val="00F702BE"/>
    <w:rsid w:val="00F77059"/>
    <w:rsid w:val="00F8548F"/>
    <w:rsid w:val="00F85D28"/>
    <w:rsid w:val="00F85ECC"/>
    <w:rsid w:val="00F862EB"/>
    <w:rsid w:val="00F879C2"/>
    <w:rsid w:val="00F911B3"/>
    <w:rsid w:val="00F91346"/>
    <w:rsid w:val="00F91C98"/>
    <w:rsid w:val="00F930CD"/>
    <w:rsid w:val="00F977E8"/>
    <w:rsid w:val="00FA42E0"/>
    <w:rsid w:val="00FA5099"/>
    <w:rsid w:val="00FA6B66"/>
    <w:rsid w:val="00FA7398"/>
    <w:rsid w:val="00FB0983"/>
    <w:rsid w:val="00FB25D2"/>
    <w:rsid w:val="00FC1055"/>
    <w:rsid w:val="00FC135B"/>
    <w:rsid w:val="00FC147F"/>
    <w:rsid w:val="00FC1870"/>
    <w:rsid w:val="00FC6091"/>
    <w:rsid w:val="00FD3B01"/>
    <w:rsid w:val="00FD4C80"/>
    <w:rsid w:val="00FD61A3"/>
    <w:rsid w:val="00FD62A2"/>
    <w:rsid w:val="00FD72C9"/>
    <w:rsid w:val="00FD7D5D"/>
    <w:rsid w:val="00FE2B5B"/>
    <w:rsid w:val="00FE2F0F"/>
    <w:rsid w:val="00FE40B8"/>
    <w:rsid w:val="00FE4950"/>
    <w:rsid w:val="00FE50CF"/>
    <w:rsid w:val="00FE6B0C"/>
    <w:rsid w:val="00FE79F8"/>
    <w:rsid w:val="00FF2A58"/>
    <w:rsid w:val="00FF4764"/>
    <w:rsid w:val="00FF5A46"/>
    <w:rsid w:val="00FF66B1"/>
    <w:rsid w:val="00FF6CD8"/>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30D43"/>
  <w15:chartTrackingRefBased/>
  <w15:docId w15:val="{41767658-A70B-45E3-92C8-72EE11419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C98"/>
    <w:pPr>
      <w:widowControl w:val="0"/>
      <w:spacing w:after="200" w:line="240" w:lineRule="auto"/>
      <w:jc w:val="both"/>
    </w:pPr>
    <w:rPr>
      <w:rFonts w:ascii="Calibri" w:eastAsia="Calibri" w:hAnsi="Calibri" w:cs="Cordia New"/>
      <w:sz w:val="20"/>
      <w:lang w:val="en-US"/>
    </w:rPr>
  </w:style>
  <w:style w:type="paragraph" w:styleId="Heading1">
    <w:name w:val="heading 1"/>
    <w:basedOn w:val="Normal"/>
    <w:next w:val="Normal"/>
    <w:link w:val="Heading1Char"/>
    <w:uiPriority w:val="9"/>
    <w:qFormat/>
    <w:rsid w:val="00755F4A"/>
    <w:pPr>
      <w:keepNext/>
      <w:keepLines/>
      <w:pBdr>
        <w:bottom w:val="single" w:sz="4" w:space="1" w:color="auto"/>
      </w:pBdr>
      <w:spacing w:before="240" w:after="0"/>
      <w:jc w:val="center"/>
      <w:outlineLvl w:val="0"/>
    </w:pPr>
    <w:rPr>
      <w:rFonts w:asciiTheme="minorHAnsi" w:eastAsiaTheme="majorEastAsia" w:hAnsiTheme="minorHAnsi" w:cstheme="majorBidi"/>
      <w:b/>
      <w:bCs/>
      <w:sz w:val="28"/>
      <w:szCs w:val="28"/>
    </w:rPr>
  </w:style>
  <w:style w:type="paragraph" w:styleId="Heading2">
    <w:name w:val="heading 2"/>
    <w:basedOn w:val="Heading1"/>
    <w:next w:val="Normal"/>
    <w:link w:val="Heading2Char"/>
    <w:uiPriority w:val="9"/>
    <w:unhideWhenUsed/>
    <w:qFormat/>
    <w:rsid w:val="00755F4A"/>
    <w:pPr>
      <w:pBdr>
        <w:bottom w:val="none" w:sz="0" w:space="0" w:color="auto"/>
      </w:pBdr>
      <w:jc w:val="left"/>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EA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EA0"/>
    <w:rPr>
      <w:rFonts w:ascii="Segoe UI" w:hAnsi="Segoe UI" w:cs="Segoe UI"/>
      <w:sz w:val="18"/>
      <w:szCs w:val="18"/>
    </w:rPr>
  </w:style>
  <w:style w:type="paragraph" w:styleId="Title">
    <w:name w:val="Title"/>
    <w:basedOn w:val="Normal"/>
    <w:next w:val="Normal"/>
    <w:link w:val="TitleChar"/>
    <w:uiPriority w:val="10"/>
    <w:qFormat/>
    <w:rsid w:val="00DC0203"/>
    <w:pPr>
      <w:pBdr>
        <w:bottom w:val="single" w:sz="4" w:space="1" w:color="auto"/>
      </w:pBdr>
      <w:spacing w:after="0"/>
      <w:contextualSpacing/>
      <w:jc w:val="center"/>
    </w:pPr>
    <w:rPr>
      <w:rFonts w:asciiTheme="minorHAnsi" w:eastAsiaTheme="majorEastAsia" w:hAnsiTheme="minorHAnsi" w:cstheme="majorBidi"/>
      <w:b/>
      <w:bCs/>
      <w:spacing w:val="-10"/>
      <w:kern w:val="28"/>
      <w:sz w:val="32"/>
      <w:szCs w:val="32"/>
    </w:rPr>
  </w:style>
  <w:style w:type="character" w:customStyle="1" w:styleId="TitleChar">
    <w:name w:val="Title Char"/>
    <w:basedOn w:val="DefaultParagraphFont"/>
    <w:link w:val="Title"/>
    <w:uiPriority w:val="10"/>
    <w:rsid w:val="00DC0203"/>
    <w:rPr>
      <w:rFonts w:eastAsiaTheme="majorEastAsia" w:cstheme="majorBidi"/>
      <w:b/>
      <w:bCs/>
      <w:spacing w:val="-10"/>
      <w:kern w:val="28"/>
      <w:sz w:val="32"/>
      <w:szCs w:val="32"/>
      <w:lang w:val="en-US"/>
    </w:rPr>
  </w:style>
  <w:style w:type="character" w:customStyle="1" w:styleId="Heading1Char">
    <w:name w:val="Heading 1 Char"/>
    <w:basedOn w:val="DefaultParagraphFont"/>
    <w:link w:val="Heading1"/>
    <w:uiPriority w:val="9"/>
    <w:rsid w:val="00755F4A"/>
    <w:rPr>
      <w:rFonts w:eastAsiaTheme="majorEastAsia" w:cstheme="majorBidi"/>
      <w:b/>
      <w:bCs/>
      <w:sz w:val="28"/>
      <w:szCs w:val="28"/>
      <w:lang w:val="en-US"/>
    </w:rPr>
  </w:style>
  <w:style w:type="paragraph" w:styleId="ListParagraph">
    <w:name w:val="List Paragraph"/>
    <w:basedOn w:val="Normal"/>
    <w:uiPriority w:val="34"/>
    <w:qFormat/>
    <w:rsid w:val="00DC0203"/>
    <w:pPr>
      <w:ind w:left="720"/>
      <w:contextualSpacing/>
    </w:pPr>
  </w:style>
  <w:style w:type="character" w:customStyle="1" w:styleId="Heading2Char">
    <w:name w:val="Heading 2 Char"/>
    <w:basedOn w:val="DefaultParagraphFont"/>
    <w:link w:val="Heading2"/>
    <w:uiPriority w:val="9"/>
    <w:rsid w:val="00755F4A"/>
    <w:rPr>
      <w:rFonts w:eastAsiaTheme="majorEastAsia" w:cstheme="majorBidi"/>
      <w:b/>
      <w:bCs/>
      <w:sz w:val="24"/>
      <w:szCs w:val="24"/>
      <w:lang w:val="en-US"/>
    </w:rPr>
  </w:style>
  <w:style w:type="paragraph" w:styleId="FootnoteText">
    <w:name w:val="footnote text"/>
    <w:aliases w:val="single space,Fußnotentextf,FOOTNOTES,fn Car Car,fn Car Car Car,fn Car,Footnote,12pt,fn,ALTS FOOTNOTE,Fodnotetekst Tegn,Fodnotetekst Tegn Char,footnote text Char Char Char,Geneva 9,Font: Geneva 9,Boston 10,f,ADB,WB-Fußnotentext,Fußnote,Cha"/>
    <w:basedOn w:val="Normal"/>
    <w:link w:val="FootnoteTextChar"/>
    <w:uiPriority w:val="99"/>
    <w:unhideWhenUsed/>
    <w:qFormat/>
    <w:rsid w:val="002829A0"/>
    <w:pPr>
      <w:spacing w:after="0"/>
      <w:ind w:left="90" w:hanging="90"/>
    </w:pPr>
    <w:rPr>
      <w:sz w:val="18"/>
      <w:szCs w:val="18"/>
    </w:rPr>
  </w:style>
  <w:style w:type="character" w:customStyle="1" w:styleId="FootnoteTextChar">
    <w:name w:val="Footnote Text Char"/>
    <w:aliases w:val="single space Char,Fußnotentextf Char,FOOTNOTES Char,fn Car Car Char,fn Car Car Car Char,fn Car Char,Footnote Char,12pt Char,fn Char,ALTS FOOTNOTE Char,Fodnotetekst Tegn Char1,Fodnotetekst Tegn Char Char,Geneva 9 Char,Boston 10 Char"/>
    <w:basedOn w:val="DefaultParagraphFont"/>
    <w:link w:val="FootnoteText"/>
    <w:uiPriority w:val="99"/>
    <w:qFormat/>
    <w:rsid w:val="002829A0"/>
    <w:rPr>
      <w:rFonts w:ascii="Calibri" w:eastAsia="Calibri" w:hAnsi="Calibri" w:cs="Cordia New"/>
      <w:sz w:val="18"/>
      <w:szCs w:val="18"/>
      <w:lang w:val="en-US"/>
    </w:rPr>
  </w:style>
  <w:style w:type="character" w:styleId="FootnoteReference">
    <w:name w:val="footnote reference"/>
    <w:aliases w:val="ftref,Error-Fußnotenzeichen5,Error-Fußnotenzeichen6,Error-Fußnotenzeichen3,Footnote Reference1,BVI fnr,Footnote Reference Number,Footnote Reference_LVL6,Footnote Reference_LVL61,Footnote Reference_LVL62,Footnote Reference_LVL63,fr,Re"/>
    <w:basedOn w:val="DefaultParagraphFont"/>
    <w:link w:val="CarattereCarattereCharCharCharCharCharCharZchn"/>
    <w:uiPriority w:val="99"/>
    <w:unhideWhenUsed/>
    <w:qFormat/>
    <w:rsid w:val="006809C6"/>
    <w:rPr>
      <w:vertAlign w:val="superscript"/>
    </w:rPr>
  </w:style>
  <w:style w:type="character" w:styleId="Hyperlink">
    <w:name w:val="Hyperlink"/>
    <w:basedOn w:val="DefaultParagraphFont"/>
    <w:uiPriority w:val="99"/>
    <w:unhideWhenUsed/>
    <w:qFormat/>
    <w:rsid w:val="009546B2"/>
    <w:rPr>
      <w:color w:val="0563C1" w:themeColor="hyperlink"/>
      <w:u w:val="single"/>
    </w:rPr>
  </w:style>
  <w:style w:type="character" w:customStyle="1" w:styleId="UnresolvedMention1">
    <w:name w:val="Unresolved Mention1"/>
    <w:basedOn w:val="DefaultParagraphFont"/>
    <w:uiPriority w:val="99"/>
    <w:semiHidden/>
    <w:unhideWhenUsed/>
    <w:rsid w:val="009546B2"/>
    <w:rPr>
      <w:color w:val="605E5C"/>
      <w:shd w:val="clear" w:color="auto" w:fill="E1DFDD"/>
    </w:rPr>
  </w:style>
  <w:style w:type="paragraph" w:styleId="NormalWeb">
    <w:name w:val="Normal (Web)"/>
    <w:basedOn w:val="Normal"/>
    <w:uiPriority w:val="99"/>
    <w:unhideWhenUsed/>
    <w:rsid w:val="009A7F92"/>
    <w:pPr>
      <w:widowControl/>
      <w:spacing w:before="100" w:beforeAutospacing="1" w:after="100" w:afterAutospacing="1"/>
      <w:jc w:val="left"/>
    </w:pPr>
    <w:rPr>
      <w:rFonts w:ascii="Times New Roman" w:eastAsia="Times New Roman" w:hAnsi="Times New Roman" w:cs="Times New Roman"/>
      <w:sz w:val="24"/>
      <w:szCs w:val="24"/>
      <w:lang w:val="en-GB" w:eastAsia="en-GB"/>
    </w:rPr>
  </w:style>
  <w:style w:type="character" w:styleId="FollowedHyperlink">
    <w:name w:val="FollowedHyperlink"/>
    <w:basedOn w:val="DefaultParagraphFont"/>
    <w:uiPriority w:val="99"/>
    <w:semiHidden/>
    <w:unhideWhenUsed/>
    <w:rsid w:val="003629F5"/>
    <w:rPr>
      <w:color w:val="954F72" w:themeColor="followedHyperlink"/>
      <w:u w:val="single"/>
    </w:r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link w:val="FootnoteReference"/>
    <w:rsid w:val="007F4FE3"/>
    <w:pPr>
      <w:widowControl/>
      <w:spacing w:after="160" w:line="240" w:lineRule="exact"/>
    </w:pPr>
    <w:rPr>
      <w:rFonts w:asciiTheme="minorHAnsi" w:eastAsiaTheme="minorHAnsi" w:hAnsiTheme="minorHAnsi" w:cstheme="minorBidi"/>
      <w:sz w:val="22"/>
      <w:vertAlign w:val="superscript"/>
      <w:lang w:val="en-GB"/>
    </w:rPr>
  </w:style>
  <w:style w:type="character" w:customStyle="1" w:styleId="normaltextrun">
    <w:name w:val="normaltextrun"/>
    <w:rsid w:val="007F4FE3"/>
  </w:style>
  <w:style w:type="character" w:customStyle="1" w:styleId="eop">
    <w:name w:val="eop"/>
    <w:rsid w:val="007F4FE3"/>
  </w:style>
  <w:style w:type="character" w:styleId="EndnoteReference">
    <w:name w:val="endnote reference"/>
    <w:basedOn w:val="DefaultParagraphFont"/>
    <w:uiPriority w:val="99"/>
    <w:semiHidden/>
    <w:unhideWhenUsed/>
    <w:rsid w:val="009A4990"/>
    <w:rPr>
      <w:vertAlign w:val="superscript"/>
    </w:rPr>
  </w:style>
  <w:style w:type="paragraph" w:styleId="EndnoteText">
    <w:name w:val="endnote text"/>
    <w:basedOn w:val="Normal"/>
    <w:link w:val="EndnoteTextChar"/>
    <w:uiPriority w:val="99"/>
    <w:unhideWhenUsed/>
    <w:rsid w:val="00F34C53"/>
    <w:pPr>
      <w:spacing w:after="0"/>
    </w:pPr>
    <w:rPr>
      <w:szCs w:val="20"/>
    </w:rPr>
  </w:style>
  <w:style w:type="character" w:customStyle="1" w:styleId="EndnoteTextChar">
    <w:name w:val="Endnote Text Char"/>
    <w:basedOn w:val="DefaultParagraphFont"/>
    <w:link w:val="EndnoteText"/>
    <w:uiPriority w:val="99"/>
    <w:rsid w:val="00F34C53"/>
    <w:rPr>
      <w:rFonts w:ascii="Calibri" w:eastAsia="Calibri" w:hAnsi="Calibri" w:cs="Cordia New"/>
      <w:sz w:val="20"/>
      <w:szCs w:val="20"/>
      <w:lang w:val="en-US"/>
    </w:rPr>
  </w:style>
  <w:style w:type="paragraph" w:styleId="Header">
    <w:name w:val="header"/>
    <w:basedOn w:val="Normal"/>
    <w:link w:val="HeaderChar"/>
    <w:uiPriority w:val="99"/>
    <w:unhideWhenUsed/>
    <w:rsid w:val="00243037"/>
    <w:pPr>
      <w:tabs>
        <w:tab w:val="center" w:pos="4513"/>
        <w:tab w:val="right" w:pos="9026"/>
      </w:tabs>
      <w:spacing w:after="0"/>
    </w:pPr>
  </w:style>
  <w:style w:type="character" w:customStyle="1" w:styleId="HeaderChar">
    <w:name w:val="Header Char"/>
    <w:basedOn w:val="DefaultParagraphFont"/>
    <w:link w:val="Header"/>
    <w:uiPriority w:val="99"/>
    <w:rsid w:val="00243037"/>
    <w:rPr>
      <w:rFonts w:ascii="Calibri" w:eastAsia="Calibri" w:hAnsi="Calibri" w:cs="Cordia New"/>
      <w:sz w:val="21"/>
      <w:lang w:val="en-US"/>
    </w:rPr>
  </w:style>
  <w:style w:type="paragraph" w:styleId="Footer">
    <w:name w:val="footer"/>
    <w:basedOn w:val="Normal"/>
    <w:link w:val="FooterChar"/>
    <w:uiPriority w:val="99"/>
    <w:unhideWhenUsed/>
    <w:rsid w:val="00243037"/>
    <w:pPr>
      <w:tabs>
        <w:tab w:val="center" w:pos="4513"/>
        <w:tab w:val="right" w:pos="9026"/>
      </w:tabs>
      <w:spacing w:after="0"/>
    </w:pPr>
  </w:style>
  <w:style w:type="character" w:customStyle="1" w:styleId="FooterChar">
    <w:name w:val="Footer Char"/>
    <w:basedOn w:val="DefaultParagraphFont"/>
    <w:link w:val="Footer"/>
    <w:uiPriority w:val="99"/>
    <w:rsid w:val="00243037"/>
    <w:rPr>
      <w:rFonts w:ascii="Calibri" w:eastAsia="Calibri" w:hAnsi="Calibri" w:cs="Cordia New"/>
      <w:sz w:val="21"/>
      <w:lang w:val="en-US"/>
    </w:rPr>
  </w:style>
  <w:style w:type="character" w:styleId="CommentReference">
    <w:name w:val="annotation reference"/>
    <w:basedOn w:val="DefaultParagraphFont"/>
    <w:uiPriority w:val="99"/>
    <w:semiHidden/>
    <w:unhideWhenUsed/>
    <w:rsid w:val="006527C5"/>
    <w:rPr>
      <w:sz w:val="16"/>
      <w:szCs w:val="16"/>
    </w:rPr>
  </w:style>
  <w:style w:type="paragraph" w:styleId="CommentText">
    <w:name w:val="annotation text"/>
    <w:basedOn w:val="Normal"/>
    <w:link w:val="CommentTextChar"/>
    <w:uiPriority w:val="99"/>
    <w:semiHidden/>
    <w:unhideWhenUsed/>
    <w:rsid w:val="006527C5"/>
    <w:rPr>
      <w:szCs w:val="20"/>
    </w:rPr>
  </w:style>
  <w:style w:type="character" w:customStyle="1" w:styleId="CommentTextChar">
    <w:name w:val="Comment Text Char"/>
    <w:basedOn w:val="DefaultParagraphFont"/>
    <w:link w:val="CommentText"/>
    <w:uiPriority w:val="99"/>
    <w:semiHidden/>
    <w:rsid w:val="006527C5"/>
    <w:rPr>
      <w:rFonts w:ascii="Calibri" w:eastAsia="Calibri" w:hAnsi="Calibri" w:cs="Cordia New"/>
      <w:sz w:val="20"/>
      <w:szCs w:val="20"/>
      <w:lang w:val="en-US"/>
    </w:rPr>
  </w:style>
  <w:style w:type="paragraph" w:styleId="CommentSubject">
    <w:name w:val="annotation subject"/>
    <w:basedOn w:val="CommentText"/>
    <w:next w:val="CommentText"/>
    <w:link w:val="CommentSubjectChar"/>
    <w:uiPriority w:val="99"/>
    <w:semiHidden/>
    <w:unhideWhenUsed/>
    <w:rsid w:val="006527C5"/>
    <w:rPr>
      <w:b/>
      <w:bCs/>
    </w:rPr>
  </w:style>
  <w:style w:type="character" w:customStyle="1" w:styleId="CommentSubjectChar">
    <w:name w:val="Comment Subject Char"/>
    <w:basedOn w:val="CommentTextChar"/>
    <w:link w:val="CommentSubject"/>
    <w:uiPriority w:val="99"/>
    <w:semiHidden/>
    <w:rsid w:val="006527C5"/>
    <w:rPr>
      <w:rFonts w:ascii="Calibri" w:eastAsia="Calibri" w:hAnsi="Calibri" w:cs="Cordia New"/>
      <w:b/>
      <w:bCs/>
      <w:sz w:val="20"/>
      <w:szCs w:val="20"/>
      <w:lang w:val="en-US"/>
    </w:rPr>
  </w:style>
  <w:style w:type="character" w:customStyle="1" w:styleId="UnresolvedMention2">
    <w:name w:val="Unresolved Mention2"/>
    <w:basedOn w:val="DefaultParagraphFont"/>
    <w:uiPriority w:val="99"/>
    <w:semiHidden/>
    <w:unhideWhenUsed/>
    <w:rsid w:val="00FF2A58"/>
    <w:rPr>
      <w:color w:val="605E5C"/>
      <w:shd w:val="clear" w:color="auto" w:fill="E1DFDD"/>
    </w:rPr>
  </w:style>
  <w:style w:type="character" w:customStyle="1" w:styleId="UnresolvedMention3">
    <w:name w:val="Unresolved Mention3"/>
    <w:basedOn w:val="DefaultParagraphFont"/>
    <w:uiPriority w:val="99"/>
    <w:semiHidden/>
    <w:unhideWhenUsed/>
    <w:rsid w:val="005E7C94"/>
    <w:rPr>
      <w:color w:val="605E5C"/>
      <w:shd w:val="clear" w:color="auto" w:fill="E1DFDD"/>
    </w:rPr>
  </w:style>
  <w:style w:type="paragraph" w:styleId="Revision">
    <w:name w:val="Revision"/>
    <w:hidden/>
    <w:uiPriority w:val="99"/>
    <w:semiHidden/>
    <w:rsid w:val="00100E1A"/>
    <w:pPr>
      <w:spacing w:after="0" w:line="240" w:lineRule="auto"/>
    </w:pPr>
    <w:rPr>
      <w:rFonts w:ascii="Calibri" w:eastAsia="Calibri" w:hAnsi="Calibri" w:cs="Cordia New"/>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63512">
      <w:bodyDiv w:val="1"/>
      <w:marLeft w:val="0"/>
      <w:marRight w:val="0"/>
      <w:marTop w:val="0"/>
      <w:marBottom w:val="0"/>
      <w:divBdr>
        <w:top w:val="none" w:sz="0" w:space="0" w:color="auto"/>
        <w:left w:val="none" w:sz="0" w:space="0" w:color="auto"/>
        <w:bottom w:val="none" w:sz="0" w:space="0" w:color="auto"/>
        <w:right w:val="none" w:sz="0" w:space="0" w:color="auto"/>
      </w:divBdr>
    </w:div>
    <w:div w:id="181166546">
      <w:bodyDiv w:val="1"/>
      <w:marLeft w:val="0"/>
      <w:marRight w:val="0"/>
      <w:marTop w:val="0"/>
      <w:marBottom w:val="0"/>
      <w:divBdr>
        <w:top w:val="none" w:sz="0" w:space="0" w:color="auto"/>
        <w:left w:val="none" w:sz="0" w:space="0" w:color="auto"/>
        <w:bottom w:val="none" w:sz="0" w:space="0" w:color="auto"/>
        <w:right w:val="none" w:sz="0" w:space="0" w:color="auto"/>
      </w:divBdr>
    </w:div>
    <w:div w:id="287204079">
      <w:bodyDiv w:val="1"/>
      <w:marLeft w:val="0"/>
      <w:marRight w:val="0"/>
      <w:marTop w:val="0"/>
      <w:marBottom w:val="0"/>
      <w:divBdr>
        <w:top w:val="none" w:sz="0" w:space="0" w:color="auto"/>
        <w:left w:val="none" w:sz="0" w:space="0" w:color="auto"/>
        <w:bottom w:val="none" w:sz="0" w:space="0" w:color="auto"/>
        <w:right w:val="none" w:sz="0" w:space="0" w:color="auto"/>
      </w:divBdr>
    </w:div>
    <w:div w:id="296254694">
      <w:bodyDiv w:val="1"/>
      <w:marLeft w:val="0"/>
      <w:marRight w:val="0"/>
      <w:marTop w:val="0"/>
      <w:marBottom w:val="0"/>
      <w:divBdr>
        <w:top w:val="none" w:sz="0" w:space="0" w:color="auto"/>
        <w:left w:val="none" w:sz="0" w:space="0" w:color="auto"/>
        <w:bottom w:val="none" w:sz="0" w:space="0" w:color="auto"/>
        <w:right w:val="none" w:sz="0" w:space="0" w:color="auto"/>
      </w:divBdr>
    </w:div>
    <w:div w:id="314535933">
      <w:bodyDiv w:val="1"/>
      <w:marLeft w:val="0"/>
      <w:marRight w:val="0"/>
      <w:marTop w:val="0"/>
      <w:marBottom w:val="0"/>
      <w:divBdr>
        <w:top w:val="none" w:sz="0" w:space="0" w:color="auto"/>
        <w:left w:val="none" w:sz="0" w:space="0" w:color="auto"/>
        <w:bottom w:val="none" w:sz="0" w:space="0" w:color="auto"/>
        <w:right w:val="none" w:sz="0" w:space="0" w:color="auto"/>
      </w:divBdr>
    </w:div>
    <w:div w:id="340932480">
      <w:bodyDiv w:val="1"/>
      <w:marLeft w:val="0"/>
      <w:marRight w:val="0"/>
      <w:marTop w:val="0"/>
      <w:marBottom w:val="0"/>
      <w:divBdr>
        <w:top w:val="none" w:sz="0" w:space="0" w:color="auto"/>
        <w:left w:val="none" w:sz="0" w:space="0" w:color="auto"/>
        <w:bottom w:val="none" w:sz="0" w:space="0" w:color="auto"/>
        <w:right w:val="none" w:sz="0" w:space="0" w:color="auto"/>
      </w:divBdr>
    </w:div>
    <w:div w:id="555312409">
      <w:bodyDiv w:val="1"/>
      <w:marLeft w:val="0"/>
      <w:marRight w:val="0"/>
      <w:marTop w:val="0"/>
      <w:marBottom w:val="0"/>
      <w:divBdr>
        <w:top w:val="none" w:sz="0" w:space="0" w:color="auto"/>
        <w:left w:val="none" w:sz="0" w:space="0" w:color="auto"/>
        <w:bottom w:val="none" w:sz="0" w:space="0" w:color="auto"/>
        <w:right w:val="none" w:sz="0" w:space="0" w:color="auto"/>
      </w:divBdr>
    </w:div>
    <w:div w:id="642924427">
      <w:bodyDiv w:val="1"/>
      <w:marLeft w:val="0"/>
      <w:marRight w:val="0"/>
      <w:marTop w:val="0"/>
      <w:marBottom w:val="0"/>
      <w:divBdr>
        <w:top w:val="none" w:sz="0" w:space="0" w:color="auto"/>
        <w:left w:val="none" w:sz="0" w:space="0" w:color="auto"/>
        <w:bottom w:val="none" w:sz="0" w:space="0" w:color="auto"/>
        <w:right w:val="none" w:sz="0" w:space="0" w:color="auto"/>
      </w:divBdr>
    </w:div>
    <w:div w:id="685441657">
      <w:bodyDiv w:val="1"/>
      <w:marLeft w:val="0"/>
      <w:marRight w:val="0"/>
      <w:marTop w:val="0"/>
      <w:marBottom w:val="0"/>
      <w:divBdr>
        <w:top w:val="none" w:sz="0" w:space="0" w:color="auto"/>
        <w:left w:val="none" w:sz="0" w:space="0" w:color="auto"/>
        <w:bottom w:val="none" w:sz="0" w:space="0" w:color="auto"/>
        <w:right w:val="none" w:sz="0" w:space="0" w:color="auto"/>
      </w:divBdr>
    </w:div>
    <w:div w:id="737437974">
      <w:bodyDiv w:val="1"/>
      <w:marLeft w:val="0"/>
      <w:marRight w:val="0"/>
      <w:marTop w:val="0"/>
      <w:marBottom w:val="0"/>
      <w:divBdr>
        <w:top w:val="none" w:sz="0" w:space="0" w:color="auto"/>
        <w:left w:val="none" w:sz="0" w:space="0" w:color="auto"/>
        <w:bottom w:val="none" w:sz="0" w:space="0" w:color="auto"/>
        <w:right w:val="none" w:sz="0" w:space="0" w:color="auto"/>
      </w:divBdr>
    </w:div>
    <w:div w:id="780222324">
      <w:bodyDiv w:val="1"/>
      <w:marLeft w:val="0"/>
      <w:marRight w:val="0"/>
      <w:marTop w:val="0"/>
      <w:marBottom w:val="0"/>
      <w:divBdr>
        <w:top w:val="none" w:sz="0" w:space="0" w:color="auto"/>
        <w:left w:val="none" w:sz="0" w:space="0" w:color="auto"/>
        <w:bottom w:val="none" w:sz="0" w:space="0" w:color="auto"/>
        <w:right w:val="none" w:sz="0" w:space="0" w:color="auto"/>
      </w:divBdr>
    </w:div>
    <w:div w:id="796490604">
      <w:bodyDiv w:val="1"/>
      <w:marLeft w:val="0"/>
      <w:marRight w:val="0"/>
      <w:marTop w:val="0"/>
      <w:marBottom w:val="0"/>
      <w:divBdr>
        <w:top w:val="none" w:sz="0" w:space="0" w:color="auto"/>
        <w:left w:val="none" w:sz="0" w:space="0" w:color="auto"/>
        <w:bottom w:val="none" w:sz="0" w:space="0" w:color="auto"/>
        <w:right w:val="none" w:sz="0" w:space="0" w:color="auto"/>
      </w:divBdr>
    </w:div>
    <w:div w:id="807280505">
      <w:bodyDiv w:val="1"/>
      <w:marLeft w:val="0"/>
      <w:marRight w:val="0"/>
      <w:marTop w:val="0"/>
      <w:marBottom w:val="0"/>
      <w:divBdr>
        <w:top w:val="none" w:sz="0" w:space="0" w:color="auto"/>
        <w:left w:val="none" w:sz="0" w:space="0" w:color="auto"/>
        <w:bottom w:val="none" w:sz="0" w:space="0" w:color="auto"/>
        <w:right w:val="none" w:sz="0" w:space="0" w:color="auto"/>
      </w:divBdr>
    </w:div>
    <w:div w:id="808594862">
      <w:bodyDiv w:val="1"/>
      <w:marLeft w:val="0"/>
      <w:marRight w:val="0"/>
      <w:marTop w:val="0"/>
      <w:marBottom w:val="0"/>
      <w:divBdr>
        <w:top w:val="none" w:sz="0" w:space="0" w:color="auto"/>
        <w:left w:val="none" w:sz="0" w:space="0" w:color="auto"/>
        <w:bottom w:val="none" w:sz="0" w:space="0" w:color="auto"/>
        <w:right w:val="none" w:sz="0" w:space="0" w:color="auto"/>
      </w:divBdr>
    </w:div>
    <w:div w:id="1042824569">
      <w:bodyDiv w:val="1"/>
      <w:marLeft w:val="0"/>
      <w:marRight w:val="0"/>
      <w:marTop w:val="0"/>
      <w:marBottom w:val="0"/>
      <w:divBdr>
        <w:top w:val="none" w:sz="0" w:space="0" w:color="auto"/>
        <w:left w:val="none" w:sz="0" w:space="0" w:color="auto"/>
        <w:bottom w:val="none" w:sz="0" w:space="0" w:color="auto"/>
        <w:right w:val="none" w:sz="0" w:space="0" w:color="auto"/>
      </w:divBdr>
    </w:div>
    <w:div w:id="1174108702">
      <w:bodyDiv w:val="1"/>
      <w:marLeft w:val="0"/>
      <w:marRight w:val="0"/>
      <w:marTop w:val="0"/>
      <w:marBottom w:val="0"/>
      <w:divBdr>
        <w:top w:val="none" w:sz="0" w:space="0" w:color="auto"/>
        <w:left w:val="none" w:sz="0" w:space="0" w:color="auto"/>
        <w:bottom w:val="none" w:sz="0" w:space="0" w:color="auto"/>
        <w:right w:val="none" w:sz="0" w:space="0" w:color="auto"/>
      </w:divBdr>
    </w:div>
    <w:div w:id="1191839132">
      <w:bodyDiv w:val="1"/>
      <w:marLeft w:val="0"/>
      <w:marRight w:val="0"/>
      <w:marTop w:val="0"/>
      <w:marBottom w:val="0"/>
      <w:divBdr>
        <w:top w:val="none" w:sz="0" w:space="0" w:color="auto"/>
        <w:left w:val="none" w:sz="0" w:space="0" w:color="auto"/>
        <w:bottom w:val="none" w:sz="0" w:space="0" w:color="auto"/>
        <w:right w:val="none" w:sz="0" w:space="0" w:color="auto"/>
      </w:divBdr>
    </w:div>
    <w:div w:id="1194074855">
      <w:bodyDiv w:val="1"/>
      <w:marLeft w:val="0"/>
      <w:marRight w:val="0"/>
      <w:marTop w:val="0"/>
      <w:marBottom w:val="0"/>
      <w:divBdr>
        <w:top w:val="none" w:sz="0" w:space="0" w:color="auto"/>
        <w:left w:val="none" w:sz="0" w:space="0" w:color="auto"/>
        <w:bottom w:val="none" w:sz="0" w:space="0" w:color="auto"/>
        <w:right w:val="none" w:sz="0" w:space="0" w:color="auto"/>
      </w:divBdr>
    </w:div>
    <w:div w:id="1243686252">
      <w:bodyDiv w:val="1"/>
      <w:marLeft w:val="0"/>
      <w:marRight w:val="0"/>
      <w:marTop w:val="0"/>
      <w:marBottom w:val="0"/>
      <w:divBdr>
        <w:top w:val="none" w:sz="0" w:space="0" w:color="auto"/>
        <w:left w:val="none" w:sz="0" w:space="0" w:color="auto"/>
        <w:bottom w:val="none" w:sz="0" w:space="0" w:color="auto"/>
        <w:right w:val="none" w:sz="0" w:space="0" w:color="auto"/>
      </w:divBdr>
    </w:div>
    <w:div w:id="1350647101">
      <w:bodyDiv w:val="1"/>
      <w:marLeft w:val="0"/>
      <w:marRight w:val="0"/>
      <w:marTop w:val="0"/>
      <w:marBottom w:val="0"/>
      <w:divBdr>
        <w:top w:val="none" w:sz="0" w:space="0" w:color="auto"/>
        <w:left w:val="none" w:sz="0" w:space="0" w:color="auto"/>
        <w:bottom w:val="none" w:sz="0" w:space="0" w:color="auto"/>
        <w:right w:val="none" w:sz="0" w:space="0" w:color="auto"/>
      </w:divBdr>
    </w:div>
    <w:div w:id="1358460028">
      <w:bodyDiv w:val="1"/>
      <w:marLeft w:val="0"/>
      <w:marRight w:val="0"/>
      <w:marTop w:val="0"/>
      <w:marBottom w:val="0"/>
      <w:divBdr>
        <w:top w:val="none" w:sz="0" w:space="0" w:color="auto"/>
        <w:left w:val="none" w:sz="0" w:space="0" w:color="auto"/>
        <w:bottom w:val="none" w:sz="0" w:space="0" w:color="auto"/>
        <w:right w:val="none" w:sz="0" w:space="0" w:color="auto"/>
      </w:divBdr>
    </w:div>
    <w:div w:id="1405378669">
      <w:bodyDiv w:val="1"/>
      <w:marLeft w:val="0"/>
      <w:marRight w:val="0"/>
      <w:marTop w:val="0"/>
      <w:marBottom w:val="0"/>
      <w:divBdr>
        <w:top w:val="none" w:sz="0" w:space="0" w:color="auto"/>
        <w:left w:val="none" w:sz="0" w:space="0" w:color="auto"/>
        <w:bottom w:val="none" w:sz="0" w:space="0" w:color="auto"/>
        <w:right w:val="none" w:sz="0" w:space="0" w:color="auto"/>
      </w:divBdr>
    </w:div>
    <w:div w:id="1455128553">
      <w:bodyDiv w:val="1"/>
      <w:marLeft w:val="0"/>
      <w:marRight w:val="0"/>
      <w:marTop w:val="0"/>
      <w:marBottom w:val="0"/>
      <w:divBdr>
        <w:top w:val="none" w:sz="0" w:space="0" w:color="auto"/>
        <w:left w:val="none" w:sz="0" w:space="0" w:color="auto"/>
        <w:bottom w:val="none" w:sz="0" w:space="0" w:color="auto"/>
        <w:right w:val="none" w:sz="0" w:space="0" w:color="auto"/>
      </w:divBdr>
    </w:div>
    <w:div w:id="1517579862">
      <w:bodyDiv w:val="1"/>
      <w:marLeft w:val="0"/>
      <w:marRight w:val="0"/>
      <w:marTop w:val="0"/>
      <w:marBottom w:val="0"/>
      <w:divBdr>
        <w:top w:val="none" w:sz="0" w:space="0" w:color="auto"/>
        <w:left w:val="none" w:sz="0" w:space="0" w:color="auto"/>
        <w:bottom w:val="none" w:sz="0" w:space="0" w:color="auto"/>
        <w:right w:val="none" w:sz="0" w:space="0" w:color="auto"/>
      </w:divBdr>
    </w:div>
    <w:div w:id="1528758781">
      <w:bodyDiv w:val="1"/>
      <w:marLeft w:val="0"/>
      <w:marRight w:val="0"/>
      <w:marTop w:val="0"/>
      <w:marBottom w:val="0"/>
      <w:divBdr>
        <w:top w:val="none" w:sz="0" w:space="0" w:color="auto"/>
        <w:left w:val="none" w:sz="0" w:space="0" w:color="auto"/>
        <w:bottom w:val="none" w:sz="0" w:space="0" w:color="auto"/>
        <w:right w:val="none" w:sz="0" w:space="0" w:color="auto"/>
      </w:divBdr>
    </w:div>
    <w:div w:id="1740638197">
      <w:bodyDiv w:val="1"/>
      <w:marLeft w:val="0"/>
      <w:marRight w:val="0"/>
      <w:marTop w:val="0"/>
      <w:marBottom w:val="0"/>
      <w:divBdr>
        <w:top w:val="none" w:sz="0" w:space="0" w:color="auto"/>
        <w:left w:val="none" w:sz="0" w:space="0" w:color="auto"/>
        <w:bottom w:val="none" w:sz="0" w:space="0" w:color="auto"/>
        <w:right w:val="none" w:sz="0" w:space="0" w:color="auto"/>
      </w:divBdr>
    </w:div>
    <w:div w:id="1859004773">
      <w:bodyDiv w:val="1"/>
      <w:marLeft w:val="0"/>
      <w:marRight w:val="0"/>
      <w:marTop w:val="0"/>
      <w:marBottom w:val="0"/>
      <w:divBdr>
        <w:top w:val="none" w:sz="0" w:space="0" w:color="auto"/>
        <w:left w:val="none" w:sz="0" w:space="0" w:color="auto"/>
        <w:bottom w:val="none" w:sz="0" w:space="0" w:color="auto"/>
        <w:right w:val="none" w:sz="0" w:space="0" w:color="auto"/>
      </w:divBdr>
    </w:div>
    <w:div w:id="1859153309">
      <w:bodyDiv w:val="1"/>
      <w:marLeft w:val="0"/>
      <w:marRight w:val="0"/>
      <w:marTop w:val="0"/>
      <w:marBottom w:val="0"/>
      <w:divBdr>
        <w:top w:val="none" w:sz="0" w:space="0" w:color="auto"/>
        <w:left w:val="none" w:sz="0" w:space="0" w:color="auto"/>
        <w:bottom w:val="none" w:sz="0" w:space="0" w:color="auto"/>
        <w:right w:val="none" w:sz="0" w:space="0" w:color="auto"/>
      </w:divBdr>
    </w:div>
    <w:div w:id="1934899062">
      <w:bodyDiv w:val="1"/>
      <w:marLeft w:val="0"/>
      <w:marRight w:val="0"/>
      <w:marTop w:val="0"/>
      <w:marBottom w:val="0"/>
      <w:divBdr>
        <w:top w:val="none" w:sz="0" w:space="0" w:color="auto"/>
        <w:left w:val="none" w:sz="0" w:space="0" w:color="auto"/>
        <w:bottom w:val="none" w:sz="0" w:space="0" w:color="auto"/>
        <w:right w:val="none" w:sz="0" w:space="0" w:color="auto"/>
      </w:divBdr>
    </w:div>
    <w:div w:id="1988968610">
      <w:bodyDiv w:val="1"/>
      <w:marLeft w:val="0"/>
      <w:marRight w:val="0"/>
      <w:marTop w:val="0"/>
      <w:marBottom w:val="0"/>
      <w:divBdr>
        <w:top w:val="none" w:sz="0" w:space="0" w:color="auto"/>
        <w:left w:val="none" w:sz="0" w:space="0" w:color="auto"/>
        <w:bottom w:val="none" w:sz="0" w:space="0" w:color="auto"/>
        <w:right w:val="none" w:sz="0" w:space="0" w:color="auto"/>
      </w:divBdr>
    </w:div>
    <w:div w:id="2013557193">
      <w:bodyDiv w:val="1"/>
      <w:marLeft w:val="0"/>
      <w:marRight w:val="0"/>
      <w:marTop w:val="0"/>
      <w:marBottom w:val="0"/>
      <w:divBdr>
        <w:top w:val="none" w:sz="0" w:space="0" w:color="auto"/>
        <w:left w:val="none" w:sz="0" w:space="0" w:color="auto"/>
        <w:bottom w:val="none" w:sz="0" w:space="0" w:color="auto"/>
        <w:right w:val="none" w:sz="0" w:space="0" w:color="auto"/>
      </w:divBdr>
    </w:div>
    <w:div w:id="2044673449">
      <w:bodyDiv w:val="1"/>
      <w:marLeft w:val="0"/>
      <w:marRight w:val="0"/>
      <w:marTop w:val="0"/>
      <w:marBottom w:val="0"/>
      <w:divBdr>
        <w:top w:val="none" w:sz="0" w:space="0" w:color="auto"/>
        <w:left w:val="none" w:sz="0" w:space="0" w:color="auto"/>
        <w:bottom w:val="none" w:sz="0" w:space="0" w:color="auto"/>
        <w:right w:val="none" w:sz="0" w:space="0" w:color="auto"/>
      </w:divBdr>
    </w:div>
    <w:div w:id="2071266332">
      <w:bodyDiv w:val="1"/>
      <w:marLeft w:val="0"/>
      <w:marRight w:val="0"/>
      <w:marTop w:val="0"/>
      <w:marBottom w:val="0"/>
      <w:divBdr>
        <w:top w:val="none" w:sz="0" w:space="0" w:color="auto"/>
        <w:left w:val="none" w:sz="0" w:space="0" w:color="auto"/>
        <w:bottom w:val="none" w:sz="0" w:space="0" w:color="auto"/>
        <w:right w:val="none" w:sz="0" w:space="0" w:color="auto"/>
      </w:divBdr>
    </w:div>
    <w:div w:id="2103715628">
      <w:bodyDiv w:val="1"/>
      <w:marLeft w:val="0"/>
      <w:marRight w:val="0"/>
      <w:marTop w:val="0"/>
      <w:marBottom w:val="0"/>
      <w:divBdr>
        <w:top w:val="none" w:sz="0" w:space="0" w:color="auto"/>
        <w:left w:val="none" w:sz="0" w:space="0" w:color="auto"/>
        <w:bottom w:val="none" w:sz="0" w:space="0" w:color="auto"/>
        <w:right w:val="none" w:sz="0" w:space="0" w:color="auto"/>
      </w:divBdr>
    </w:div>
    <w:div w:id="21212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ao.org/3/i2801e/i2801e.pdf" TargetMode="External"/><Relationship Id="rId18" Type="http://schemas.openxmlformats.org/officeDocument/2006/relationships/hyperlink" Target="https://www.ohchr.org/Documents/ProfessionalInterest/cedaw.pdf" TargetMode="External"/><Relationship Id="rId3" Type="http://schemas.openxmlformats.org/officeDocument/2006/relationships/customXml" Target="../customXml/item3.xml"/><Relationship Id="rId21" Type="http://schemas.openxmlformats.org/officeDocument/2006/relationships/fontTable" Target="fontTable.xml"/><Relationship Id="rId63"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apps.who.int/iris/rest/bitstreams/517432/retrieve" TargetMode="External"/><Relationship Id="rId17" Type="http://schemas.openxmlformats.org/officeDocument/2006/relationships/hyperlink" Target="https://www.un.org/womenwatch/daw/beijing/pdf/BDPfA%20E.pdf" TargetMode="External"/><Relationship Id="rId2" Type="http://schemas.openxmlformats.org/officeDocument/2006/relationships/customXml" Target="../customXml/item2.xml"/><Relationship Id="rId16" Type="http://schemas.openxmlformats.org/officeDocument/2006/relationships/hyperlink" Target="https://www.un.org/en/development/desa/population/events/pdf/expert/27/SupportingDocuments/A_CONF.171_13_Rev.1.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stainabledevelopment.un.org/content/documents/24797GSDR_report_2019.pdf" TargetMode="External"/><Relationship Id="rId5" Type="http://schemas.openxmlformats.org/officeDocument/2006/relationships/numbering" Target="numbering.xml"/><Relationship Id="rId15" Type="http://schemas.openxmlformats.org/officeDocument/2006/relationships/hyperlink" Target="https://documents-dds-ny.un.org/doc/UNDOC/GEN/N20/012/99/PDF/N2001299.pdf?OpenElement" TargetMode="Externa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ao.org/3/a-i4465"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documents-dds-ny.un.org/doc/UNDOC/GEN/N20/012/99/PDF/N2001299.pdf?OpenElement" TargetMode="External"/><Relationship Id="rId13" Type="http://schemas.openxmlformats.org/officeDocument/2006/relationships/hyperlink" Target="https://www.unescap.org/sites/default/files/publications/ESCAP_Asia_and_the_Pacific_SDG_Progress_Report_2020.pdf" TargetMode="External"/><Relationship Id="rId3" Type="http://schemas.openxmlformats.org/officeDocument/2006/relationships/hyperlink" Target="http://www.fao.org/3/A-I4030E.PDF" TargetMode="External"/><Relationship Id="rId7" Type="http://schemas.openxmlformats.org/officeDocument/2006/relationships/hyperlink" Target="http://www.fao.org/3/i2801e/i2801e.pdf" TargetMode="External"/><Relationship Id="rId12" Type="http://schemas.openxmlformats.org/officeDocument/2006/relationships/hyperlink" Target="http://www.fao.org/3/A-I4030E.PDF" TargetMode="External"/><Relationship Id="rId2" Type="http://schemas.openxmlformats.org/officeDocument/2006/relationships/hyperlink" Target="https://www.unescap.org/sites/default/files/COVID%20_Report_ESCAP.pdf" TargetMode="External"/><Relationship Id="rId1" Type="http://schemas.openxmlformats.org/officeDocument/2006/relationships/hyperlink" Target="http://www.fao.org/3/mw252en/mw252en.pdf" TargetMode="External"/><Relationship Id="rId6" Type="http://schemas.openxmlformats.org/officeDocument/2006/relationships/hyperlink" Target="https://www.adb.org/sites/default/files/publication/30315/gender-equality-and-food-security.pdf" TargetMode="External"/><Relationship Id="rId11" Type="http://schemas.openxmlformats.org/officeDocument/2006/relationships/hyperlink" Target="https://documents-dds-ny.un.org/doc/UNDOC/GEN/N20/012/99/PDF/N2001299.pdf?OpenElement" TargetMode="External"/><Relationship Id="rId5" Type="http://schemas.openxmlformats.org/officeDocument/2006/relationships/hyperlink" Target="https://reliefweb.int/sites/reliefweb.int/files/resources/food-security-asia-pacific.pdf" TargetMode="External"/><Relationship Id="rId10" Type="http://schemas.openxmlformats.org/officeDocument/2006/relationships/hyperlink" Target="https://www2.unwomen.org/-/media/field%20office%20eseasia/docs/publications/2018/10/apsdg-infographics-25oct2018.pdf?la=en&amp;vs=4923" TargetMode="External"/><Relationship Id="rId4" Type="http://schemas.openxmlformats.org/officeDocument/2006/relationships/hyperlink" Target="https://www.adb.org/sites/default/files/publication/30315/gender-equality-and-food-security.pdf" TargetMode="External"/><Relationship Id="rId9" Type="http://schemas.openxmlformats.org/officeDocument/2006/relationships/hyperlink" Target="http://data.unescap.org/escap_stat/" TargetMode="External"/><Relationship Id="rId14" Type="http://schemas.openxmlformats.org/officeDocument/2006/relationships/hyperlink" Target="https://www.adb.org/sites/default/files/publication/30315/gender-equality-and-food-security.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3BA70C28999844B23F159A152951DE" ma:contentTypeVersion="13" ma:contentTypeDescription="Create a new document." ma:contentTypeScope="" ma:versionID="9c25ca5c62645d2db93d260d7ac77ce9">
  <xsd:schema xmlns:xsd="http://www.w3.org/2001/XMLSchema" xmlns:xs="http://www.w3.org/2001/XMLSchema" xmlns:p="http://schemas.microsoft.com/office/2006/metadata/properties" xmlns:ns3="fd87428d-2c22-45c5-956d-13bf3600237b" xmlns:ns4="1aea6657-7064-473b-9579-6f409240ad3e" targetNamespace="http://schemas.microsoft.com/office/2006/metadata/properties" ma:root="true" ma:fieldsID="df057b4c0d1d34133be14d7c743aee1d" ns3:_="" ns4:_="">
    <xsd:import namespace="fd87428d-2c22-45c5-956d-13bf3600237b"/>
    <xsd:import namespace="1aea6657-7064-473b-9579-6f409240ad3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7428d-2c22-45c5-956d-13bf3600237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ea6657-7064-473b-9579-6f409240ad3e"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4B1F5-05B6-4DA9-B36F-DDF3BC727F76}">
  <ds:schemaRefs>
    <ds:schemaRef ds:uri="http://schemas.microsoft.com/sharepoint/v3/contenttype/forms"/>
  </ds:schemaRefs>
</ds:datastoreItem>
</file>

<file path=customXml/itemProps2.xml><?xml version="1.0" encoding="utf-8"?>
<ds:datastoreItem xmlns:ds="http://schemas.openxmlformats.org/officeDocument/2006/customXml" ds:itemID="{C055F86C-1F00-423C-96EA-431C49F28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87428d-2c22-45c5-956d-13bf3600237b"/>
    <ds:schemaRef ds:uri="1aea6657-7064-473b-9579-6f409240a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64970D-5A92-47FF-ACD7-9947C603461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692D57-C565-4AA7-B4E7-A7FBC0CAF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Pages>
  <Words>1526</Words>
  <Characters>8703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Zaman</dc:creator>
  <cp:keywords/>
  <dc:description/>
  <cp:lastModifiedBy>Alexa Johns</cp:lastModifiedBy>
  <cp:revision>69</cp:revision>
  <cp:lastPrinted>2020-05-30T19:58:00Z</cp:lastPrinted>
  <dcterms:created xsi:type="dcterms:W3CDTF">2020-07-07T02:48:00Z</dcterms:created>
  <dcterms:modified xsi:type="dcterms:W3CDTF">2020-07-08T09:38:00Z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0x0101001A3BA70C28999844B23F159A152951DE</vt:lpwstr>
  </property>
</Properties>
</file>