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745BC" w14:textId="766CA72C" w:rsidR="00174451" w:rsidRPr="00627F87" w:rsidRDefault="00174451" w:rsidP="00627F87">
      <w:pPr>
        <w:pStyle w:val="Heading1"/>
        <w:rPr>
          <w:color w:val="FC318C"/>
          <w:sz w:val="36"/>
          <w:szCs w:val="36"/>
        </w:rPr>
      </w:pPr>
      <w:r w:rsidRPr="00015B19">
        <w:rPr>
          <w:color w:val="FC318C"/>
          <w:sz w:val="36"/>
          <w:szCs w:val="36"/>
        </w:rPr>
        <w:t>GSDR E</w:t>
      </w:r>
      <w:r w:rsidR="00627F87">
        <w:rPr>
          <w:color w:val="FC318C"/>
          <w:sz w:val="36"/>
          <w:szCs w:val="36"/>
        </w:rPr>
        <w:t>NTRY POINT 1:</w:t>
      </w:r>
      <w:r w:rsidRPr="00015B19">
        <w:rPr>
          <w:color w:val="FC318C"/>
          <w:sz w:val="36"/>
          <w:szCs w:val="36"/>
        </w:rPr>
        <w:t xml:space="preserve"> </w:t>
      </w:r>
      <w:r w:rsidR="00627F87">
        <w:rPr>
          <w:color w:val="FC318C"/>
          <w:sz w:val="36"/>
          <w:szCs w:val="36"/>
        </w:rPr>
        <w:t>HUMAN WELL-BEING AND CAPABILITIES</w:t>
      </w:r>
    </w:p>
    <w:p w14:paraId="758852A5" w14:textId="17E3C068" w:rsidR="00174451" w:rsidRDefault="00A07646" w:rsidP="00AA3915">
      <w:pPr>
        <w:spacing w:after="0"/>
        <w:rPr>
          <w:i/>
          <w:iCs/>
          <w:szCs w:val="20"/>
        </w:rPr>
      </w:pPr>
      <w:bookmarkStart w:id="0" w:name="_Hlk40537589"/>
      <w:r w:rsidRPr="00ED77E3">
        <w:rPr>
          <w:i/>
          <w:iCs/>
          <w:szCs w:val="20"/>
        </w:rPr>
        <w:t xml:space="preserve">These briefs are intended for organizations and activists engaged in advocacy on SRHR, gender and sexuality in Asia and the Pacific. They aim to provide a snapshot how SRHR links to the new Agenda 2030 framework laid out by the </w:t>
      </w:r>
      <w:hyperlink r:id="rId11" w:history="1">
        <w:r w:rsidRPr="00ED77E3">
          <w:rPr>
            <w:rStyle w:val="Hyperlink"/>
            <w:i/>
            <w:iCs/>
            <w:szCs w:val="20"/>
          </w:rPr>
          <w:t xml:space="preserve">2019 </w:t>
        </w:r>
        <w:r w:rsidRPr="00ED77E3">
          <w:rPr>
            <w:rStyle w:val="Hyperlink"/>
            <w:rFonts w:cs="Calibri"/>
            <w:i/>
            <w:iCs/>
            <w:szCs w:val="20"/>
          </w:rPr>
          <w:t>Global Sustainable Development R</w:t>
        </w:r>
        <w:r w:rsidRPr="00ED77E3">
          <w:rPr>
            <w:rStyle w:val="Hyperlink"/>
            <w:i/>
            <w:iCs/>
            <w:szCs w:val="20"/>
          </w:rPr>
          <w:t>eport</w:t>
        </w:r>
      </w:hyperlink>
      <w:r>
        <w:rPr>
          <w:rStyle w:val="Hyperlink"/>
          <w:i/>
          <w:iCs/>
          <w:szCs w:val="20"/>
        </w:rPr>
        <w:t xml:space="preserve"> (G</w:t>
      </w:r>
      <w:r>
        <w:rPr>
          <w:rStyle w:val="Hyperlink"/>
          <w:i/>
          <w:iCs/>
          <w:szCs w:val="20"/>
        </w:rPr>
        <w:t>S</w:t>
      </w:r>
      <w:r>
        <w:rPr>
          <w:rStyle w:val="Hyperlink"/>
          <w:i/>
          <w:iCs/>
          <w:szCs w:val="20"/>
        </w:rPr>
        <w:t>DR)</w:t>
      </w:r>
      <w:r w:rsidRPr="00ED77E3">
        <w:rPr>
          <w:i/>
          <w:iCs/>
          <w:szCs w:val="20"/>
        </w:rPr>
        <w:t xml:space="preserve"> and the </w:t>
      </w:r>
      <w:r>
        <w:rPr>
          <w:i/>
          <w:iCs/>
          <w:szCs w:val="20"/>
        </w:rPr>
        <w:t>6</w:t>
      </w:r>
      <w:r w:rsidRPr="00ED77E3">
        <w:rPr>
          <w:i/>
          <w:iCs/>
          <w:szCs w:val="20"/>
        </w:rPr>
        <w:t xml:space="preserve"> entry-points it identifies, provide brief evidence from the context of Asia Pacific, and illustrate how fulfillment of SRHR helps countries in the region achieve just and sustainable development using the development justice framework of Asia Pacific Regional Civil Society Engagement Mechanism (AP RCEM).   The briefs have been developed by members of the</w:t>
      </w:r>
      <w:r w:rsidRPr="0090327F">
        <w:rPr>
          <w:i/>
          <w:iCs/>
          <w:szCs w:val="20"/>
        </w:rPr>
        <w:t xml:space="preserve"> </w:t>
      </w:r>
      <w:r w:rsidRPr="00ED77E3">
        <w:rPr>
          <w:i/>
          <w:iCs/>
          <w:szCs w:val="20"/>
        </w:rPr>
        <w:t xml:space="preserve">AP RCEM Thematic Working Group </w:t>
      </w:r>
      <w:r>
        <w:rPr>
          <w:i/>
          <w:iCs/>
          <w:szCs w:val="20"/>
        </w:rPr>
        <w:t xml:space="preserve">(TWG) </w:t>
      </w:r>
      <w:r w:rsidRPr="00ED77E3">
        <w:rPr>
          <w:i/>
          <w:iCs/>
          <w:szCs w:val="20"/>
        </w:rPr>
        <w:t>on Gender, Sexuality and SRHR, and supported by the co-coordinator of the TWG</w:t>
      </w:r>
      <w:r>
        <w:rPr>
          <w:i/>
          <w:iCs/>
          <w:szCs w:val="20"/>
        </w:rPr>
        <w:t>.</w:t>
      </w:r>
    </w:p>
    <w:p w14:paraId="0B28BCEF" w14:textId="77777777" w:rsidR="00A07646" w:rsidRDefault="00A07646" w:rsidP="00AA3915">
      <w:pPr>
        <w:spacing w:after="0"/>
        <w:rPr>
          <w:b/>
          <w:bCs/>
        </w:rPr>
      </w:pPr>
    </w:p>
    <w:p w14:paraId="57132D92" w14:textId="0E3C6301" w:rsidR="00AA3915" w:rsidRPr="00627F87" w:rsidRDefault="00D76494" w:rsidP="00AA3915">
      <w:pPr>
        <w:spacing w:after="0"/>
        <w:rPr>
          <w:rFonts w:asciiTheme="minorHAnsi" w:hAnsiTheme="minorHAnsi" w:cstheme="minorHAnsi"/>
          <w:b/>
          <w:bCs/>
          <w:sz w:val="24"/>
          <w:szCs w:val="24"/>
        </w:rPr>
      </w:pPr>
      <w:r w:rsidRPr="00627F87">
        <w:rPr>
          <w:rFonts w:asciiTheme="minorHAnsi" w:hAnsiTheme="minorHAnsi" w:cstheme="minorHAnsi"/>
          <w:b/>
          <w:bCs/>
          <w:color w:val="EF1137"/>
          <w:sz w:val="24"/>
          <w:szCs w:val="24"/>
        </w:rPr>
        <w:t>INTERLINKAGES BETWEEN GENDER</w:t>
      </w:r>
      <w:r w:rsidR="000E6E83">
        <w:rPr>
          <w:rFonts w:asciiTheme="minorHAnsi" w:hAnsiTheme="minorHAnsi" w:cstheme="minorHAnsi"/>
          <w:b/>
          <w:bCs/>
          <w:color w:val="EF1137"/>
          <w:sz w:val="24"/>
          <w:szCs w:val="24"/>
        </w:rPr>
        <w:t>,</w:t>
      </w:r>
      <w:bookmarkStart w:id="1" w:name="_GoBack"/>
      <w:bookmarkEnd w:id="1"/>
      <w:r w:rsidRPr="00627F87">
        <w:rPr>
          <w:rFonts w:asciiTheme="minorHAnsi" w:hAnsiTheme="minorHAnsi" w:cstheme="minorHAnsi"/>
          <w:b/>
          <w:bCs/>
          <w:color w:val="EF1137"/>
          <w:sz w:val="24"/>
          <w:szCs w:val="24"/>
        </w:rPr>
        <w:t xml:space="preserve"> SRHR AND ENTRYPOINT 1</w:t>
      </w:r>
    </w:p>
    <w:p w14:paraId="23E99CAA" w14:textId="6B757831" w:rsidR="009A6EE3" w:rsidRPr="00174451" w:rsidRDefault="00AA3915" w:rsidP="009A6EE3">
      <w:pPr>
        <w:spacing w:after="120"/>
        <w:rPr>
          <w:sz w:val="22"/>
        </w:rPr>
      </w:pPr>
      <w:r w:rsidRPr="00174451">
        <w:rPr>
          <w:sz w:val="22"/>
        </w:rPr>
        <w:t>Human well-being and capabi</w:t>
      </w:r>
      <w:r w:rsidR="001E21C0" w:rsidRPr="00174451">
        <w:rPr>
          <w:sz w:val="22"/>
        </w:rPr>
        <w:t xml:space="preserve">lity </w:t>
      </w:r>
      <w:r w:rsidR="00B7016B" w:rsidRPr="00174451">
        <w:rPr>
          <w:sz w:val="22"/>
        </w:rPr>
        <w:t xml:space="preserve">prerequires and derives from the fulfilment </w:t>
      </w:r>
      <w:r w:rsidR="00196F2A" w:rsidRPr="00174451">
        <w:rPr>
          <w:sz w:val="22"/>
        </w:rPr>
        <w:t xml:space="preserve">of </w:t>
      </w:r>
      <w:r w:rsidR="00273247" w:rsidRPr="00174451">
        <w:rPr>
          <w:sz w:val="22"/>
        </w:rPr>
        <w:t>many fundamental human rights</w:t>
      </w:r>
      <w:r w:rsidR="003E20C0">
        <w:rPr>
          <w:sz w:val="22"/>
        </w:rPr>
        <w:t xml:space="preserve"> and across Agenda 2030</w:t>
      </w:r>
      <w:r w:rsidR="001C6EE8" w:rsidRPr="00174451">
        <w:rPr>
          <w:sz w:val="22"/>
        </w:rPr>
        <w:t>, including</w:t>
      </w:r>
      <w:r w:rsidR="00B7016B" w:rsidRPr="00174451">
        <w:rPr>
          <w:sz w:val="22"/>
        </w:rPr>
        <w:t xml:space="preserve"> amongst others</w:t>
      </w:r>
      <w:r w:rsidR="001C6EE8" w:rsidRPr="00174451">
        <w:rPr>
          <w:sz w:val="22"/>
        </w:rPr>
        <w:t xml:space="preserve">: </w:t>
      </w:r>
      <w:r w:rsidR="00382F07" w:rsidRPr="00174451">
        <w:rPr>
          <w:sz w:val="22"/>
        </w:rPr>
        <w:t xml:space="preserve">poverty </w:t>
      </w:r>
      <w:r w:rsidRPr="00174451">
        <w:rPr>
          <w:sz w:val="22"/>
        </w:rPr>
        <w:t xml:space="preserve">eradication (SDG1), </w:t>
      </w:r>
      <w:r w:rsidR="001C6EE8" w:rsidRPr="00174451">
        <w:rPr>
          <w:sz w:val="22"/>
        </w:rPr>
        <w:t xml:space="preserve">food </w:t>
      </w:r>
      <w:r w:rsidR="00D73605" w:rsidRPr="00174451">
        <w:rPr>
          <w:sz w:val="22"/>
        </w:rPr>
        <w:t>and</w:t>
      </w:r>
      <w:r w:rsidR="001C6EE8" w:rsidRPr="00174451">
        <w:rPr>
          <w:sz w:val="22"/>
        </w:rPr>
        <w:t xml:space="preserve"> </w:t>
      </w:r>
      <w:r w:rsidRPr="00174451">
        <w:rPr>
          <w:sz w:val="22"/>
        </w:rPr>
        <w:t xml:space="preserve">nourishment (SDG2) </w:t>
      </w:r>
      <w:r w:rsidR="00D73605" w:rsidRPr="00174451">
        <w:rPr>
          <w:sz w:val="22"/>
        </w:rPr>
        <w:t>and</w:t>
      </w:r>
      <w:r w:rsidRPr="00174451">
        <w:rPr>
          <w:sz w:val="22"/>
        </w:rPr>
        <w:t xml:space="preserve"> good health with longevity (SDG 3); access to education and lifelong learning (SDG 4); gender equality </w:t>
      </w:r>
      <w:r w:rsidR="00D73605" w:rsidRPr="00174451">
        <w:rPr>
          <w:sz w:val="22"/>
        </w:rPr>
        <w:t>and</w:t>
      </w:r>
      <w:r w:rsidRPr="00174451">
        <w:rPr>
          <w:sz w:val="22"/>
        </w:rPr>
        <w:t xml:space="preserve"> equal treatment (SDG 5); access to clean water </w:t>
      </w:r>
      <w:r w:rsidR="00D73605" w:rsidRPr="00174451">
        <w:rPr>
          <w:sz w:val="22"/>
        </w:rPr>
        <w:t>and</w:t>
      </w:r>
      <w:r w:rsidRPr="00174451">
        <w:rPr>
          <w:sz w:val="22"/>
        </w:rPr>
        <w:t xml:space="preserve"> basic sanitation (SDG 6), clean energy (SDG 7) </w:t>
      </w:r>
      <w:r w:rsidR="00D73605" w:rsidRPr="00174451">
        <w:rPr>
          <w:sz w:val="22"/>
        </w:rPr>
        <w:t>and</w:t>
      </w:r>
      <w:r w:rsidRPr="00174451">
        <w:rPr>
          <w:sz w:val="22"/>
        </w:rPr>
        <w:t xml:space="preserve"> decent livelihoo</w:t>
      </w:r>
      <w:r w:rsidR="001C6EE8" w:rsidRPr="00174451">
        <w:rPr>
          <w:sz w:val="22"/>
        </w:rPr>
        <w:t>d</w:t>
      </w:r>
      <w:r w:rsidRPr="00174451">
        <w:rPr>
          <w:sz w:val="22"/>
        </w:rPr>
        <w:t xml:space="preserve"> (SDG 8); sustainable life on land (SDG 15); and the attainment of peace, justice, institutional development (SDG 16). </w:t>
      </w:r>
    </w:p>
    <w:p w14:paraId="532DFB85" w14:textId="648CB341" w:rsidR="00BC4BE3" w:rsidRPr="00174451" w:rsidRDefault="00BC4BE3" w:rsidP="009A6EE3">
      <w:pPr>
        <w:spacing w:after="120"/>
        <w:rPr>
          <w:sz w:val="22"/>
        </w:rPr>
      </w:pPr>
      <w:r w:rsidRPr="00174451">
        <w:rPr>
          <w:sz w:val="22"/>
        </w:rPr>
        <w:t xml:space="preserve">In 2018, almost half of the 1.3 billion multidimensionally poor people </w:t>
      </w:r>
      <w:r w:rsidR="00D73605" w:rsidRPr="00174451">
        <w:rPr>
          <w:sz w:val="22"/>
        </w:rPr>
        <w:t xml:space="preserve">globally </w:t>
      </w:r>
      <w:r w:rsidRPr="00174451">
        <w:rPr>
          <w:sz w:val="22"/>
        </w:rPr>
        <w:t xml:space="preserve">lived in </w:t>
      </w:r>
      <w:r w:rsidR="00DE6923" w:rsidRPr="00174451">
        <w:rPr>
          <w:sz w:val="22"/>
        </w:rPr>
        <w:t xml:space="preserve">the </w:t>
      </w:r>
      <w:r w:rsidRPr="00174451">
        <w:rPr>
          <w:sz w:val="22"/>
        </w:rPr>
        <w:t>Asia</w:t>
      </w:r>
      <w:r w:rsidR="003B7F0D" w:rsidRPr="00174451">
        <w:rPr>
          <w:sz w:val="22"/>
        </w:rPr>
        <w:t>-</w:t>
      </w:r>
      <w:r w:rsidRPr="00174451">
        <w:rPr>
          <w:sz w:val="22"/>
        </w:rPr>
        <w:t>Pacific</w:t>
      </w:r>
      <w:r w:rsidR="003B7F0D" w:rsidRPr="00174451">
        <w:rPr>
          <w:sz w:val="22"/>
        </w:rPr>
        <w:t xml:space="preserve"> (AP)</w:t>
      </w:r>
      <w:r w:rsidR="00DE6923" w:rsidRPr="00174451">
        <w:rPr>
          <w:sz w:val="22"/>
        </w:rPr>
        <w:t xml:space="preserve"> region.</w:t>
      </w:r>
      <w:r w:rsidRPr="00174451">
        <w:rPr>
          <w:sz w:val="22"/>
        </w:rPr>
        <w:t xml:space="preserve"> </w:t>
      </w:r>
      <w:r w:rsidR="00DE6923" w:rsidRPr="00174451">
        <w:rPr>
          <w:sz w:val="22"/>
        </w:rPr>
        <w:t>D</w:t>
      </w:r>
      <w:r w:rsidRPr="00174451">
        <w:rPr>
          <w:sz w:val="22"/>
        </w:rPr>
        <w:t>espite reductions in extreme poverty</w:t>
      </w:r>
      <w:r w:rsidR="00DE6923" w:rsidRPr="00174451">
        <w:rPr>
          <w:sz w:val="22"/>
        </w:rPr>
        <w:t>,</w:t>
      </w:r>
      <w:r w:rsidR="00D86F07" w:rsidRPr="00174451">
        <w:rPr>
          <w:sz w:val="22"/>
        </w:rPr>
        <w:t xml:space="preserve"> m</w:t>
      </w:r>
      <w:r w:rsidRPr="00174451">
        <w:rPr>
          <w:sz w:val="22"/>
        </w:rPr>
        <w:t xml:space="preserve">ultidimensional poverty </w:t>
      </w:r>
      <w:r w:rsidR="00D86F07" w:rsidRPr="00174451">
        <w:rPr>
          <w:sz w:val="22"/>
        </w:rPr>
        <w:t xml:space="preserve">remains </w:t>
      </w:r>
      <w:r w:rsidRPr="00174451">
        <w:rPr>
          <w:sz w:val="22"/>
        </w:rPr>
        <w:t>concentrated among marginalized groups</w:t>
      </w:r>
      <w:r w:rsidR="00792C3C" w:rsidRPr="00174451">
        <w:rPr>
          <w:sz w:val="22"/>
        </w:rPr>
        <w:t xml:space="preserve"> including </w:t>
      </w:r>
      <w:r w:rsidRPr="00174451">
        <w:rPr>
          <w:sz w:val="22"/>
        </w:rPr>
        <w:t xml:space="preserve">women, indigenous peoples, ethnic/caste/racial minorities, </w:t>
      </w:r>
      <w:r w:rsidR="00792C3C" w:rsidRPr="00174451">
        <w:rPr>
          <w:sz w:val="22"/>
        </w:rPr>
        <w:t>coastal communities</w:t>
      </w:r>
      <w:r w:rsidR="00D73605" w:rsidRPr="00174451">
        <w:rPr>
          <w:sz w:val="22"/>
        </w:rPr>
        <w:t xml:space="preserve"> and</w:t>
      </w:r>
      <w:r w:rsidR="00B45D6C" w:rsidRPr="00174451">
        <w:rPr>
          <w:sz w:val="22"/>
        </w:rPr>
        <w:t xml:space="preserve"> highlanders,</w:t>
      </w:r>
      <w:r w:rsidR="00792C3C" w:rsidRPr="00174451">
        <w:rPr>
          <w:sz w:val="22"/>
        </w:rPr>
        <w:t xml:space="preserve"> </w:t>
      </w:r>
      <w:r w:rsidRPr="00174451">
        <w:rPr>
          <w:sz w:val="22"/>
        </w:rPr>
        <w:t>migrant workers, landless farmers</w:t>
      </w:r>
      <w:r w:rsidR="00792C3C" w:rsidRPr="00174451">
        <w:rPr>
          <w:sz w:val="22"/>
        </w:rPr>
        <w:t>,</w:t>
      </w:r>
      <w:r w:rsidRPr="00174451">
        <w:rPr>
          <w:sz w:val="22"/>
        </w:rPr>
        <w:t xml:space="preserve"> and persons with disabilities. Gender inequality, </w:t>
      </w:r>
      <w:r w:rsidR="00792C3C" w:rsidRPr="00174451">
        <w:rPr>
          <w:sz w:val="22"/>
        </w:rPr>
        <w:t xml:space="preserve">patriarchy, religious fundamentalism </w:t>
      </w:r>
      <w:r w:rsidR="00B45D6C" w:rsidRPr="00174451">
        <w:rPr>
          <w:sz w:val="22"/>
        </w:rPr>
        <w:t xml:space="preserve">and increasing militarism </w:t>
      </w:r>
      <w:r w:rsidR="00792C3C" w:rsidRPr="00174451">
        <w:rPr>
          <w:sz w:val="22"/>
        </w:rPr>
        <w:t xml:space="preserve">further </w:t>
      </w:r>
      <w:r w:rsidRPr="00174451">
        <w:rPr>
          <w:sz w:val="22"/>
        </w:rPr>
        <w:t>limit the opportunities</w:t>
      </w:r>
      <w:r w:rsidR="00D86F07" w:rsidRPr="00174451">
        <w:rPr>
          <w:sz w:val="22"/>
        </w:rPr>
        <w:t>, available services</w:t>
      </w:r>
      <w:r w:rsidRPr="00174451">
        <w:rPr>
          <w:sz w:val="22"/>
        </w:rPr>
        <w:t xml:space="preserve"> and capabilities of </w:t>
      </w:r>
      <w:r w:rsidR="00792C3C" w:rsidRPr="00174451">
        <w:rPr>
          <w:sz w:val="22"/>
        </w:rPr>
        <w:t xml:space="preserve">nearly </w:t>
      </w:r>
      <w:r w:rsidRPr="00174451">
        <w:rPr>
          <w:sz w:val="22"/>
        </w:rPr>
        <w:t xml:space="preserve">half </w:t>
      </w:r>
      <w:r w:rsidR="00792C3C" w:rsidRPr="00174451">
        <w:rPr>
          <w:sz w:val="22"/>
        </w:rPr>
        <w:t xml:space="preserve">of </w:t>
      </w:r>
      <w:r w:rsidRPr="00174451">
        <w:rPr>
          <w:sz w:val="22"/>
        </w:rPr>
        <w:t xml:space="preserve">the world’s population </w:t>
      </w:r>
      <w:r w:rsidR="00D86F07" w:rsidRPr="00174451">
        <w:rPr>
          <w:sz w:val="22"/>
        </w:rPr>
        <w:t xml:space="preserve">where </w:t>
      </w:r>
      <w:r w:rsidRPr="00174451">
        <w:rPr>
          <w:sz w:val="22"/>
        </w:rPr>
        <w:t>women</w:t>
      </w:r>
      <w:r w:rsidR="00792C3C" w:rsidRPr="00174451">
        <w:rPr>
          <w:sz w:val="22"/>
        </w:rPr>
        <w:t xml:space="preserve">, girls and </w:t>
      </w:r>
      <w:r w:rsidR="00D73605" w:rsidRPr="00174451">
        <w:rPr>
          <w:sz w:val="22"/>
        </w:rPr>
        <w:t>lesbian, gay, bisexual, transgender, intersex, queer, asexual, plus (</w:t>
      </w:r>
      <w:r w:rsidR="00792C3C" w:rsidRPr="00174451">
        <w:rPr>
          <w:sz w:val="22"/>
        </w:rPr>
        <w:t>LGBTIQA+</w:t>
      </w:r>
      <w:r w:rsidR="00D73605" w:rsidRPr="00174451">
        <w:rPr>
          <w:sz w:val="22"/>
        </w:rPr>
        <w:t>)</w:t>
      </w:r>
      <w:r w:rsidR="00792C3C" w:rsidRPr="00174451">
        <w:rPr>
          <w:sz w:val="22"/>
        </w:rPr>
        <w:t xml:space="preserve"> people </w:t>
      </w:r>
      <w:r w:rsidRPr="00174451">
        <w:rPr>
          <w:sz w:val="22"/>
        </w:rPr>
        <w:t>fac</w:t>
      </w:r>
      <w:r w:rsidR="00792C3C" w:rsidRPr="00174451">
        <w:rPr>
          <w:sz w:val="22"/>
        </w:rPr>
        <w:t>e</w:t>
      </w:r>
      <w:r w:rsidRPr="00174451">
        <w:rPr>
          <w:sz w:val="22"/>
        </w:rPr>
        <w:t xml:space="preserve"> multiple levels of marginalization</w:t>
      </w:r>
      <w:r w:rsidR="00792C3C" w:rsidRPr="00174451">
        <w:rPr>
          <w:sz w:val="22"/>
        </w:rPr>
        <w:t xml:space="preserve"> and constant threat of discrimination and/or violence</w:t>
      </w:r>
      <w:r w:rsidR="00C659FC" w:rsidRPr="00174451">
        <w:rPr>
          <w:sz w:val="22"/>
        </w:rPr>
        <w:t>.</w:t>
      </w:r>
    </w:p>
    <w:p w14:paraId="7CB58F08" w14:textId="7007EF03" w:rsidR="00C8468C" w:rsidRPr="00174451" w:rsidRDefault="00C52CDD" w:rsidP="00C8468C">
      <w:pPr>
        <w:spacing w:after="120"/>
        <w:rPr>
          <w:rFonts w:cs="Calibri"/>
          <w:sz w:val="22"/>
          <w:lang w:val="en-AU"/>
        </w:rPr>
      </w:pPr>
      <w:r w:rsidRPr="00174451">
        <w:rPr>
          <w:sz w:val="22"/>
        </w:rPr>
        <w:t>I</w:t>
      </w:r>
      <w:r w:rsidR="00D73605" w:rsidRPr="00174451">
        <w:rPr>
          <w:sz w:val="22"/>
        </w:rPr>
        <w:t>nequality in access to s</w:t>
      </w:r>
      <w:r w:rsidR="008A2995" w:rsidRPr="00174451">
        <w:rPr>
          <w:sz w:val="22"/>
        </w:rPr>
        <w:t xml:space="preserve">exual </w:t>
      </w:r>
      <w:r w:rsidR="009A6EE3" w:rsidRPr="00174451">
        <w:rPr>
          <w:sz w:val="22"/>
        </w:rPr>
        <w:t>and</w:t>
      </w:r>
      <w:r w:rsidR="00D73605" w:rsidRPr="00174451">
        <w:rPr>
          <w:sz w:val="22"/>
        </w:rPr>
        <w:t xml:space="preserve"> reproductive h</w:t>
      </w:r>
      <w:r w:rsidR="008A2995" w:rsidRPr="00174451">
        <w:rPr>
          <w:sz w:val="22"/>
        </w:rPr>
        <w:t xml:space="preserve">ealth </w:t>
      </w:r>
      <w:r w:rsidR="009A6EE3" w:rsidRPr="00174451">
        <w:rPr>
          <w:sz w:val="22"/>
        </w:rPr>
        <w:t>and</w:t>
      </w:r>
      <w:r w:rsidR="00D73605" w:rsidRPr="00174451">
        <w:rPr>
          <w:sz w:val="22"/>
        </w:rPr>
        <w:t xml:space="preserve"> r</w:t>
      </w:r>
      <w:r w:rsidR="008A2995" w:rsidRPr="00174451">
        <w:rPr>
          <w:sz w:val="22"/>
        </w:rPr>
        <w:t>ights (SRHR) services</w:t>
      </w:r>
      <w:r w:rsidR="00E14A81">
        <w:rPr>
          <w:sz w:val="22"/>
        </w:rPr>
        <w:t xml:space="preserve">, education </w:t>
      </w:r>
      <w:r w:rsidR="008A2995" w:rsidRPr="00174451">
        <w:rPr>
          <w:sz w:val="22"/>
        </w:rPr>
        <w:t>and information frequently translates in inequalities of income, education, employment opportunities and overall health and well-being.</w:t>
      </w:r>
      <w:r w:rsidR="008A2995" w:rsidRPr="00174451">
        <w:rPr>
          <w:rStyle w:val="EndnoteReference"/>
          <w:sz w:val="22"/>
        </w:rPr>
        <w:endnoteReference w:id="1"/>
      </w:r>
      <w:r w:rsidR="008A2995" w:rsidRPr="00174451">
        <w:rPr>
          <w:sz w:val="22"/>
        </w:rPr>
        <w:t xml:space="preserve"> </w:t>
      </w:r>
      <w:r w:rsidRPr="00174451">
        <w:rPr>
          <w:sz w:val="22"/>
        </w:rPr>
        <w:t>In</w:t>
      </w:r>
      <w:r w:rsidR="00BC4BE3" w:rsidRPr="00174451">
        <w:rPr>
          <w:sz w:val="22"/>
        </w:rPr>
        <w:t xml:space="preserve"> many</w:t>
      </w:r>
      <w:r w:rsidRPr="00174451">
        <w:rPr>
          <w:sz w:val="22"/>
        </w:rPr>
        <w:t xml:space="preserve"> </w:t>
      </w:r>
      <w:r w:rsidR="00E14A81">
        <w:rPr>
          <w:sz w:val="22"/>
        </w:rPr>
        <w:t xml:space="preserve">Asia Pacific </w:t>
      </w:r>
      <w:r w:rsidR="00BC4BE3" w:rsidRPr="00174451">
        <w:rPr>
          <w:sz w:val="22"/>
        </w:rPr>
        <w:t xml:space="preserve">countries, women and girls lack information, are subjected to </w:t>
      </w:r>
      <w:r w:rsidR="00D75115" w:rsidRPr="00174451">
        <w:rPr>
          <w:sz w:val="22"/>
        </w:rPr>
        <w:t xml:space="preserve">reproductive coercion, </w:t>
      </w:r>
      <w:r w:rsidR="00BC4BE3" w:rsidRPr="00174451">
        <w:rPr>
          <w:sz w:val="22"/>
        </w:rPr>
        <w:t xml:space="preserve">harmful cultural norms and traditions such as child </w:t>
      </w:r>
      <w:r w:rsidR="00CD3DD3">
        <w:rPr>
          <w:sz w:val="22"/>
        </w:rPr>
        <w:t xml:space="preserve">and forced </w:t>
      </w:r>
      <w:r w:rsidR="00BC4BE3" w:rsidRPr="00174451">
        <w:rPr>
          <w:sz w:val="22"/>
        </w:rPr>
        <w:t xml:space="preserve">marriage, female genital mutilation, gender-based violence </w:t>
      </w:r>
      <w:r w:rsidR="00D73605" w:rsidRPr="00174451">
        <w:rPr>
          <w:sz w:val="22"/>
        </w:rPr>
        <w:t>and</w:t>
      </w:r>
      <w:r w:rsidR="00BC4BE3" w:rsidRPr="00174451">
        <w:rPr>
          <w:sz w:val="22"/>
        </w:rPr>
        <w:t xml:space="preserve"> discrimination, </w:t>
      </w:r>
      <w:r w:rsidR="00A50876" w:rsidRPr="00174451">
        <w:rPr>
          <w:sz w:val="22"/>
        </w:rPr>
        <w:t xml:space="preserve">low access to SRHR services </w:t>
      </w:r>
      <w:r w:rsidRPr="00174451">
        <w:rPr>
          <w:sz w:val="22"/>
        </w:rPr>
        <w:t xml:space="preserve">including safe abortion </w:t>
      </w:r>
      <w:r w:rsidR="00BC4BE3" w:rsidRPr="00174451">
        <w:rPr>
          <w:sz w:val="22"/>
        </w:rPr>
        <w:t>and provider incompetence, bias</w:t>
      </w:r>
      <w:r w:rsidR="00BC4BE3" w:rsidRPr="00174451">
        <w:rPr>
          <w:rStyle w:val="EndnoteReference"/>
          <w:sz w:val="22"/>
        </w:rPr>
        <w:endnoteReference w:id="2"/>
      </w:r>
      <w:r w:rsidR="00BC4BE3" w:rsidRPr="00174451">
        <w:rPr>
          <w:sz w:val="22"/>
        </w:rPr>
        <w:t xml:space="preserve"> or conscientious objection</w:t>
      </w:r>
      <w:r w:rsidR="00750DAD" w:rsidRPr="00174451">
        <w:rPr>
          <w:sz w:val="22"/>
        </w:rPr>
        <w:t xml:space="preserve">. </w:t>
      </w:r>
      <w:r w:rsidRPr="00174451">
        <w:rPr>
          <w:sz w:val="22"/>
        </w:rPr>
        <w:t xml:space="preserve">While </w:t>
      </w:r>
      <w:r w:rsidR="00C8468C" w:rsidRPr="00174451">
        <w:rPr>
          <w:sz w:val="22"/>
        </w:rPr>
        <w:t>some countries in the region offer constitutional protection</w:t>
      </w:r>
      <w:r w:rsidR="00750DAD" w:rsidRPr="00174451">
        <w:rPr>
          <w:sz w:val="22"/>
        </w:rPr>
        <w:t xml:space="preserve">, by and large </w:t>
      </w:r>
      <w:r w:rsidR="00C8468C" w:rsidRPr="00174451">
        <w:rPr>
          <w:sz w:val="22"/>
        </w:rPr>
        <w:t xml:space="preserve">discrimination and lack of protection for LGBTIQA+ communities </w:t>
      </w:r>
      <w:r w:rsidR="00D73605" w:rsidRPr="00174451">
        <w:rPr>
          <w:sz w:val="22"/>
        </w:rPr>
        <w:t>is</w:t>
      </w:r>
      <w:r w:rsidR="00C8468C" w:rsidRPr="00174451">
        <w:rPr>
          <w:sz w:val="22"/>
        </w:rPr>
        <w:t xml:space="preserve"> </w:t>
      </w:r>
      <w:r w:rsidR="00CD3DD3">
        <w:rPr>
          <w:sz w:val="22"/>
        </w:rPr>
        <w:t xml:space="preserve">also </w:t>
      </w:r>
      <w:r w:rsidR="00C8468C" w:rsidRPr="00174451">
        <w:rPr>
          <w:sz w:val="22"/>
        </w:rPr>
        <w:t xml:space="preserve">widely prevalent. </w:t>
      </w:r>
      <w:r w:rsidR="003F20A8" w:rsidRPr="00CD3DD3">
        <w:rPr>
          <w:sz w:val="22"/>
        </w:rPr>
        <w:t xml:space="preserve">Collectively, these precipitate </w:t>
      </w:r>
      <w:r w:rsidR="00CD3DD3" w:rsidRPr="00CD3DD3">
        <w:rPr>
          <w:sz w:val="22"/>
        </w:rPr>
        <w:t xml:space="preserve">human rights violations of </w:t>
      </w:r>
      <w:r w:rsidR="003F20A8" w:rsidRPr="00CD3DD3">
        <w:rPr>
          <w:sz w:val="22"/>
        </w:rPr>
        <w:t>bodily autonomy for women and girls</w:t>
      </w:r>
      <w:r w:rsidR="00CD3DD3" w:rsidRPr="00CD3DD3">
        <w:rPr>
          <w:sz w:val="22"/>
        </w:rPr>
        <w:t xml:space="preserve"> and marginalized groups. </w:t>
      </w:r>
      <w:r w:rsidR="003F20A8" w:rsidRPr="00CD3DD3">
        <w:rPr>
          <w:sz w:val="22"/>
        </w:rPr>
        <w:t xml:space="preserve"> </w:t>
      </w:r>
    </w:p>
    <w:p w14:paraId="3792B1B4" w14:textId="6D723F00" w:rsidR="00AA3915" w:rsidRPr="000D4B11" w:rsidRDefault="00627F87" w:rsidP="000F7F77">
      <w:pPr>
        <w:spacing w:after="0"/>
        <w:rPr>
          <w:rFonts w:cstheme="minorHAnsi"/>
          <w:b/>
          <w:bCs/>
          <w:color w:val="EF1137"/>
          <w:sz w:val="24"/>
          <w:szCs w:val="24"/>
        </w:rPr>
      </w:pPr>
      <w:r w:rsidRPr="000D4B11">
        <w:rPr>
          <w:rFonts w:cstheme="minorHAnsi"/>
          <w:b/>
          <w:bCs/>
          <w:color w:val="EF1137"/>
          <w:sz w:val="24"/>
          <w:szCs w:val="24"/>
        </w:rPr>
        <w:t xml:space="preserve">POLICY COHERENCE </w:t>
      </w:r>
    </w:p>
    <w:p w14:paraId="0D50E72F" w14:textId="58C89FE6" w:rsidR="00C86538" w:rsidRPr="00174451" w:rsidRDefault="00AA3915" w:rsidP="00C86538">
      <w:pPr>
        <w:spacing w:after="120"/>
        <w:rPr>
          <w:sz w:val="22"/>
          <w:lang w:val="en-GB"/>
        </w:rPr>
      </w:pPr>
      <w:r w:rsidRPr="00174451">
        <w:rPr>
          <w:sz w:val="22"/>
        </w:rPr>
        <w:t xml:space="preserve">The centrality of SRHR to sustainable development is </w:t>
      </w:r>
      <w:r w:rsidR="009A6EE3" w:rsidRPr="00174451">
        <w:rPr>
          <w:sz w:val="22"/>
        </w:rPr>
        <w:t xml:space="preserve">highlighted </w:t>
      </w:r>
      <w:r w:rsidR="007A5AB3" w:rsidRPr="00174451">
        <w:rPr>
          <w:sz w:val="22"/>
        </w:rPr>
        <w:t xml:space="preserve">in </w:t>
      </w:r>
      <w:r w:rsidRPr="00174451">
        <w:rPr>
          <w:sz w:val="22"/>
        </w:rPr>
        <w:t xml:space="preserve">the </w:t>
      </w:r>
      <w:r w:rsidR="0099728E" w:rsidRPr="00174451">
        <w:rPr>
          <w:sz w:val="22"/>
        </w:rPr>
        <w:t xml:space="preserve">1994 </w:t>
      </w:r>
      <w:hyperlink r:id="rId12" w:history="1">
        <w:r w:rsidR="0099728E" w:rsidRPr="00174451">
          <w:rPr>
            <w:rStyle w:val="Hyperlink"/>
            <w:sz w:val="22"/>
          </w:rPr>
          <w:t>International Conference on Population and Development (ICPD)</w:t>
        </w:r>
      </w:hyperlink>
      <w:r w:rsidR="0099728E" w:rsidRPr="00174451">
        <w:rPr>
          <w:sz w:val="22"/>
        </w:rPr>
        <w:t xml:space="preserve"> </w:t>
      </w:r>
      <w:r w:rsidRPr="00174451">
        <w:rPr>
          <w:sz w:val="22"/>
        </w:rPr>
        <w:t>Program</w:t>
      </w:r>
      <w:r w:rsidR="0099728E" w:rsidRPr="00174451">
        <w:rPr>
          <w:sz w:val="22"/>
        </w:rPr>
        <w:t>me</w:t>
      </w:r>
      <w:r w:rsidRPr="00174451">
        <w:rPr>
          <w:sz w:val="22"/>
        </w:rPr>
        <w:t xml:space="preserve"> of Action</w:t>
      </w:r>
      <w:r w:rsidR="0099728E" w:rsidRPr="00174451">
        <w:rPr>
          <w:sz w:val="22"/>
        </w:rPr>
        <w:t xml:space="preserve"> (PoA)</w:t>
      </w:r>
      <w:r w:rsidRPr="00174451">
        <w:rPr>
          <w:sz w:val="22"/>
        </w:rPr>
        <w:t xml:space="preserve">, </w:t>
      </w:r>
      <w:r w:rsidR="0099728E" w:rsidRPr="00174451">
        <w:rPr>
          <w:sz w:val="22"/>
        </w:rPr>
        <w:t xml:space="preserve">1995 </w:t>
      </w:r>
      <w:hyperlink r:id="rId13" w:history="1">
        <w:r w:rsidR="0099728E" w:rsidRPr="00174451">
          <w:rPr>
            <w:rStyle w:val="Hyperlink"/>
            <w:sz w:val="22"/>
          </w:rPr>
          <w:t>Beijing Platform for Action (</w:t>
        </w:r>
        <w:r w:rsidRPr="00174451">
          <w:rPr>
            <w:rStyle w:val="Hyperlink"/>
            <w:sz w:val="22"/>
          </w:rPr>
          <w:t>BPfA</w:t>
        </w:r>
        <w:r w:rsidR="0099728E" w:rsidRPr="00174451">
          <w:rPr>
            <w:rStyle w:val="Hyperlink"/>
            <w:sz w:val="22"/>
          </w:rPr>
          <w:t>)</w:t>
        </w:r>
      </w:hyperlink>
      <w:r w:rsidRPr="00174451">
        <w:rPr>
          <w:sz w:val="22"/>
        </w:rPr>
        <w:t xml:space="preserve">, </w:t>
      </w:r>
      <w:r w:rsidR="0099728E" w:rsidRPr="00174451">
        <w:rPr>
          <w:sz w:val="22"/>
        </w:rPr>
        <w:t>2015 Sustainable Development Goals (</w:t>
      </w:r>
      <w:r w:rsidRPr="00174451">
        <w:rPr>
          <w:sz w:val="22"/>
        </w:rPr>
        <w:t>SDG</w:t>
      </w:r>
      <w:r w:rsidR="0099728E" w:rsidRPr="00174451">
        <w:rPr>
          <w:sz w:val="22"/>
        </w:rPr>
        <w:t>s)</w:t>
      </w:r>
      <w:r w:rsidR="009A6EE3" w:rsidRPr="00174451">
        <w:rPr>
          <w:sz w:val="22"/>
        </w:rPr>
        <w:t xml:space="preserve"> </w:t>
      </w:r>
      <w:r w:rsidR="002555DC" w:rsidRPr="00174451">
        <w:rPr>
          <w:sz w:val="22"/>
        </w:rPr>
        <w:t>or</w:t>
      </w:r>
      <w:r w:rsidR="009A6EE3" w:rsidRPr="00174451">
        <w:rPr>
          <w:sz w:val="22"/>
        </w:rPr>
        <w:t xml:space="preserve"> Agenda 2030,</w:t>
      </w:r>
      <w:r w:rsidRPr="00174451">
        <w:rPr>
          <w:sz w:val="22"/>
        </w:rPr>
        <w:t xml:space="preserve"> </w:t>
      </w:r>
      <w:r w:rsidR="00BD466A" w:rsidRPr="00174451">
        <w:rPr>
          <w:sz w:val="22"/>
        </w:rPr>
        <w:t>and</w:t>
      </w:r>
      <w:r w:rsidRPr="00174451">
        <w:rPr>
          <w:sz w:val="22"/>
        </w:rPr>
        <w:t xml:space="preserve"> </w:t>
      </w:r>
      <w:r w:rsidR="007A5AB3" w:rsidRPr="00174451">
        <w:rPr>
          <w:sz w:val="22"/>
        </w:rPr>
        <w:t xml:space="preserve">their </w:t>
      </w:r>
      <w:r w:rsidR="005502AE" w:rsidRPr="00174451">
        <w:rPr>
          <w:sz w:val="22"/>
        </w:rPr>
        <w:t xml:space="preserve">review </w:t>
      </w:r>
      <w:r w:rsidR="00B67F0F" w:rsidRPr="00174451">
        <w:rPr>
          <w:sz w:val="22"/>
        </w:rPr>
        <w:t>and</w:t>
      </w:r>
      <w:r w:rsidR="005502AE" w:rsidRPr="00174451">
        <w:rPr>
          <w:sz w:val="22"/>
        </w:rPr>
        <w:t xml:space="preserve"> </w:t>
      </w:r>
      <w:r w:rsidR="007A5AB3" w:rsidRPr="00174451">
        <w:rPr>
          <w:sz w:val="22"/>
        </w:rPr>
        <w:t>outcome documents</w:t>
      </w:r>
      <w:r w:rsidR="00E14A81">
        <w:rPr>
          <w:sz w:val="22"/>
        </w:rPr>
        <w:t>;</w:t>
      </w:r>
      <w:r w:rsidR="00F31929" w:rsidRPr="00174451">
        <w:rPr>
          <w:sz w:val="22"/>
        </w:rPr>
        <w:t xml:space="preserve"> in particular the </w:t>
      </w:r>
      <w:hyperlink r:id="rId14" w:history="1">
        <w:r w:rsidR="00F31929" w:rsidRPr="00174451">
          <w:rPr>
            <w:rStyle w:val="Hyperlink"/>
            <w:sz w:val="22"/>
          </w:rPr>
          <w:t>2013 Asia Pacific Ministerial Declaration on Population and Development</w:t>
        </w:r>
      </w:hyperlink>
      <w:r w:rsidR="007A5AB3" w:rsidRPr="00174451">
        <w:rPr>
          <w:sz w:val="22"/>
        </w:rPr>
        <w:t>.</w:t>
      </w:r>
      <w:r w:rsidR="005502AE" w:rsidRPr="00174451">
        <w:rPr>
          <w:sz w:val="22"/>
        </w:rPr>
        <w:t xml:space="preserve">  </w:t>
      </w:r>
      <w:r w:rsidR="00C86538" w:rsidRPr="00174451">
        <w:rPr>
          <w:sz w:val="22"/>
        </w:rPr>
        <w:t>More recently, t</w:t>
      </w:r>
      <w:r w:rsidR="009A6EE3" w:rsidRPr="00174451">
        <w:rPr>
          <w:sz w:val="22"/>
        </w:rPr>
        <w:t xml:space="preserve">he </w:t>
      </w:r>
      <w:hyperlink r:id="rId15" w:history="1">
        <w:r w:rsidR="009A6EE3" w:rsidRPr="00174451">
          <w:rPr>
            <w:rStyle w:val="Hyperlink"/>
            <w:sz w:val="22"/>
          </w:rPr>
          <w:t>Nairobi Statement on ICPD +25: Accelerating the Promise</w:t>
        </w:r>
      </w:hyperlink>
      <w:r w:rsidR="009A6EE3" w:rsidRPr="00174451">
        <w:rPr>
          <w:sz w:val="22"/>
        </w:rPr>
        <w:t xml:space="preserve"> emphasizes health as ‘a precondition for and an outcome </w:t>
      </w:r>
      <w:r w:rsidR="00D73605" w:rsidRPr="00174451">
        <w:rPr>
          <w:sz w:val="22"/>
        </w:rPr>
        <w:t>and</w:t>
      </w:r>
      <w:r w:rsidR="009A6EE3" w:rsidRPr="00174451">
        <w:rPr>
          <w:sz w:val="22"/>
        </w:rPr>
        <w:t xml:space="preserve"> indicator of the social, economic </w:t>
      </w:r>
      <w:r w:rsidR="00D73605" w:rsidRPr="00174451">
        <w:rPr>
          <w:sz w:val="22"/>
        </w:rPr>
        <w:t>and</w:t>
      </w:r>
      <w:r w:rsidR="009A6EE3" w:rsidRPr="00174451">
        <w:rPr>
          <w:sz w:val="22"/>
        </w:rPr>
        <w:t xml:space="preserve"> environmental dimensions of sustainable development’</w:t>
      </w:r>
      <w:r w:rsidR="00941011" w:rsidRPr="00174451">
        <w:rPr>
          <w:sz w:val="22"/>
        </w:rPr>
        <w:t xml:space="preserve">, </w:t>
      </w:r>
      <w:r w:rsidR="009A6EE3" w:rsidRPr="00174451">
        <w:rPr>
          <w:sz w:val="22"/>
        </w:rPr>
        <w:t xml:space="preserve">and aims to achieve </w:t>
      </w:r>
      <w:r w:rsidR="00941011" w:rsidRPr="00174451">
        <w:rPr>
          <w:sz w:val="22"/>
        </w:rPr>
        <w:t xml:space="preserve"> three zeros </w:t>
      </w:r>
      <w:r w:rsidR="009A6EE3" w:rsidRPr="00174451">
        <w:rPr>
          <w:sz w:val="22"/>
        </w:rPr>
        <w:t>by</w:t>
      </w:r>
      <w:r w:rsidR="00941011" w:rsidRPr="00174451">
        <w:rPr>
          <w:sz w:val="22"/>
        </w:rPr>
        <w:t xml:space="preserve"> 2030 – ending preventable maternal mortality, unmet need for contraceptives, and gender-based violence </w:t>
      </w:r>
      <w:r w:rsidR="009A6EE3" w:rsidRPr="00174451">
        <w:rPr>
          <w:sz w:val="22"/>
        </w:rPr>
        <w:t>and</w:t>
      </w:r>
      <w:r w:rsidR="00941011" w:rsidRPr="00174451">
        <w:rPr>
          <w:sz w:val="22"/>
        </w:rPr>
        <w:t xml:space="preserve"> harmful practices. It recommends acceleration in 5 critical areas to achieve health </w:t>
      </w:r>
      <w:r w:rsidR="0099728E" w:rsidRPr="00174451">
        <w:rPr>
          <w:sz w:val="22"/>
        </w:rPr>
        <w:t>and</w:t>
      </w:r>
      <w:r w:rsidR="00941011" w:rsidRPr="00174451">
        <w:rPr>
          <w:sz w:val="22"/>
        </w:rPr>
        <w:t xml:space="preserve"> well-being for all, including: gender equality, youth leadership, political and community leadership, innovation and data, and partnerships.</w:t>
      </w:r>
    </w:p>
    <w:p w14:paraId="251E0D90" w14:textId="0D0819BE" w:rsidR="00C86538" w:rsidRPr="00174451" w:rsidRDefault="00C86538" w:rsidP="00273247">
      <w:pPr>
        <w:spacing w:after="120"/>
        <w:rPr>
          <w:sz w:val="22"/>
          <w:lang w:val="en-GB"/>
        </w:rPr>
      </w:pPr>
      <w:r w:rsidRPr="00174451">
        <w:rPr>
          <w:sz w:val="22"/>
          <w:lang w:val="en-GB"/>
        </w:rPr>
        <w:t>In 2019, t</w:t>
      </w:r>
      <w:r w:rsidRPr="00174451">
        <w:rPr>
          <w:sz w:val="22"/>
        </w:rPr>
        <w:t xml:space="preserve">he UN adopted the </w:t>
      </w:r>
      <w:hyperlink r:id="rId16" w:history="1">
        <w:r w:rsidRPr="00174451">
          <w:rPr>
            <w:rStyle w:val="Hyperlink"/>
            <w:sz w:val="22"/>
          </w:rPr>
          <w:t>Political Declaration of the High-level Meeting on Universal Health Coverage</w:t>
        </w:r>
      </w:hyperlink>
      <w:r w:rsidRPr="00174451">
        <w:rPr>
          <w:sz w:val="22"/>
        </w:rPr>
        <w:t xml:space="preserve"> (UHC), which reiterates the goal to universalize access to SRH care and services, including for family planning, information and education, and the integration of reproductive health into national strategies </w:t>
      </w:r>
      <w:r w:rsidR="00D73605" w:rsidRPr="00174451">
        <w:rPr>
          <w:sz w:val="22"/>
        </w:rPr>
        <w:t>and</w:t>
      </w:r>
      <w:r w:rsidRPr="00174451">
        <w:rPr>
          <w:sz w:val="22"/>
        </w:rPr>
        <w:t xml:space="preserve"> programs.</w:t>
      </w:r>
      <w:r w:rsidRPr="00174451">
        <w:rPr>
          <w:rStyle w:val="EndnoteReference"/>
          <w:sz w:val="22"/>
        </w:rPr>
        <w:endnoteReference w:id="3"/>
      </w:r>
      <w:r w:rsidRPr="00174451">
        <w:rPr>
          <w:sz w:val="22"/>
        </w:rPr>
        <w:t xml:space="preserve"> </w:t>
      </w:r>
      <w:r w:rsidR="00DA5B70" w:rsidRPr="00174451">
        <w:rPr>
          <w:sz w:val="22"/>
        </w:rPr>
        <w:t>P</w:t>
      </w:r>
      <w:r w:rsidRPr="00174451">
        <w:rPr>
          <w:sz w:val="22"/>
        </w:rPr>
        <w:t xml:space="preserve">rimary healthcare as the cornerstone of equitable and inclusive health systems </w:t>
      </w:r>
      <w:r w:rsidR="00DA5B70" w:rsidRPr="00174451">
        <w:rPr>
          <w:sz w:val="22"/>
        </w:rPr>
        <w:t xml:space="preserve"> is also supported by </w:t>
      </w:r>
      <w:r w:rsidRPr="00174451">
        <w:rPr>
          <w:sz w:val="22"/>
        </w:rPr>
        <w:t>the</w:t>
      </w:r>
      <w:r w:rsidR="007A148D" w:rsidRPr="00174451">
        <w:rPr>
          <w:sz w:val="22"/>
        </w:rPr>
        <w:t xml:space="preserve"> 1978</w:t>
      </w:r>
      <w:r w:rsidRPr="00174451">
        <w:rPr>
          <w:sz w:val="22"/>
        </w:rPr>
        <w:t xml:space="preserve"> </w:t>
      </w:r>
      <w:hyperlink r:id="rId17" w:history="1">
        <w:r w:rsidRPr="00174451">
          <w:rPr>
            <w:rStyle w:val="Hyperlink"/>
            <w:sz w:val="22"/>
          </w:rPr>
          <w:t>Declaration of Alma-Ata</w:t>
        </w:r>
      </w:hyperlink>
      <w:r w:rsidRPr="00174451">
        <w:rPr>
          <w:sz w:val="22"/>
        </w:rPr>
        <w:t xml:space="preserve"> and </w:t>
      </w:r>
      <w:r w:rsidR="007A148D" w:rsidRPr="00174451">
        <w:rPr>
          <w:sz w:val="22"/>
        </w:rPr>
        <w:t xml:space="preserve">2018 </w:t>
      </w:r>
      <w:hyperlink r:id="rId18" w:history="1">
        <w:r w:rsidRPr="00174451">
          <w:rPr>
            <w:rStyle w:val="Hyperlink"/>
            <w:sz w:val="22"/>
          </w:rPr>
          <w:t>Declaration of Astana</w:t>
        </w:r>
      </w:hyperlink>
      <w:r w:rsidR="00DA5B70" w:rsidRPr="00174451">
        <w:rPr>
          <w:sz w:val="22"/>
        </w:rPr>
        <w:t>.</w:t>
      </w:r>
      <w:r w:rsidRPr="00174451">
        <w:rPr>
          <w:rStyle w:val="EndnoteReference"/>
          <w:sz w:val="22"/>
        </w:rPr>
        <w:endnoteReference w:id="4"/>
      </w:r>
    </w:p>
    <w:p w14:paraId="5A40BB7D" w14:textId="62FA142A" w:rsidR="00FE2F0F" w:rsidRPr="000D4B11" w:rsidRDefault="00627F87" w:rsidP="00FE2F0F">
      <w:pPr>
        <w:spacing w:after="0"/>
        <w:rPr>
          <w:b/>
          <w:bCs/>
          <w:color w:val="EF1137"/>
          <w:sz w:val="24"/>
          <w:szCs w:val="24"/>
        </w:rPr>
      </w:pPr>
      <w:r w:rsidRPr="000D4B11">
        <w:rPr>
          <w:b/>
          <w:bCs/>
          <w:color w:val="EF1137"/>
          <w:sz w:val="24"/>
          <w:szCs w:val="24"/>
        </w:rPr>
        <w:t xml:space="preserve">EVIDENCE FROM ASIA PACIFIC </w:t>
      </w:r>
    </w:p>
    <w:p w14:paraId="3ACF5F8B" w14:textId="32943521" w:rsidR="00C659FC" w:rsidRPr="00174451" w:rsidRDefault="00AA3915" w:rsidP="00273247">
      <w:pPr>
        <w:spacing w:after="120"/>
        <w:rPr>
          <w:sz w:val="22"/>
        </w:rPr>
      </w:pPr>
      <w:r w:rsidRPr="00174451">
        <w:rPr>
          <w:sz w:val="22"/>
        </w:rPr>
        <w:t>A</w:t>
      </w:r>
      <w:r w:rsidR="00C52CDD" w:rsidRPr="00174451">
        <w:rPr>
          <w:sz w:val="22"/>
        </w:rPr>
        <w:t xml:space="preserve">sia-Pacific is </w:t>
      </w:r>
      <w:r w:rsidRPr="00174451">
        <w:rPr>
          <w:sz w:val="22"/>
        </w:rPr>
        <w:t>home to more than 60% of the world</w:t>
      </w:r>
      <w:r w:rsidR="00BC4BE3" w:rsidRPr="00174451">
        <w:rPr>
          <w:sz w:val="22"/>
        </w:rPr>
        <w:t>’s</w:t>
      </w:r>
      <w:r w:rsidRPr="00174451">
        <w:rPr>
          <w:sz w:val="22"/>
        </w:rPr>
        <w:t xml:space="preserve"> population,</w:t>
      </w:r>
      <w:r w:rsidR="00C52CDD" w:rsidRPr="00174451">
        <w:rPr>
          <w:sz w:val="22"/>
        </w:rPr>
        <w:t xml:space="preserve"> and</w:t>
      </w:r>
      <w:r w:rsidRPr="00174451">
        <w:rPr>
          <w:sz w:val="22"/>
        </w:rPr>
        <w:t xml:space="preserve"> transformati</w:t>
      </w:r>
      <w:r w:rsidR="00B67F0F" w:rsidRPr="00174451">
        <w:rPr>
          <w:sz w:val="22"/>
        </w:rPr>
        <w:t xml:space="preserve">on </w:t>
      </w:r>
      <w:r w:rsidR="00C52CDD" w:rsidRPr="00174451">
        <w:rPr>
          <w:sz w:val="22"/>
        </w:rPr>
        <w:t xml:space="preserve">in </w:t>
      </w:r>
      <w:r w:rsidR="005251C9" w:rsidRPr="00174451">
        <w:rPr>
          <w:sz w:val="22"/>
        </w:rPr>
        <w:t>h</w:t>
      </w:r>
      <w:r w:rsidR="00BC4BE3" w:rsidRPr="00174451">
        <w:rPr>
          <w:sz w:val="22"/>
        </w:rPr>
        <w:t xml:space="preserve">uman well-being and capabilities </w:t>
      </w:r>
      <w:r w:rsidRPr="00174451">
        <w:rPr>
          <w:sz w:val="22"/>
        </w:rPr>
        <w:t>is crucial for harnessing the region’s abundant human potential</w:t>
      </w:r>
      <w:r w:rsidR="00B67F0F" w:rsidRPr="00174451">
        <w:rPr>
          <w:sz w:val="22"/>
        </w:rPr>
        <w:t>.</w:t>
      </w:r>
      <w:r w:rsidR="00B67F0F" w:rsidRPr="00174451">
        <w:rPr>
          <w:rStyle w:val="EndnoteReference"/>
          <w:sz w:val="22"/>
        </w:rPr>
        <w:endnoteReference w:id="5"/>
      </w:r>
      <w:r w:rsidR="00C52CDD" w:rsidRPr="00174451">
        <w:rPr>
          <w:sz w:val="22"/>
        </w:rPr>
        <w:t xml:space="preserve"> But i</w:t>
      </w:r>
      <w:r w:rsidRPr="00174451">
        <w:rPr>
          <w:sz w:val="22"/>
        </w:rPr>
        <w:t xml:space="preserve">ncreasing conflict, disasters </w:t>
      </w:r>
      <w:r w:rsidR="00D73605" w:rsidRPr="00174451">
        <w:rPr>
          <w:sz w:val="22"/>
        </w:rPr>
        <w:t>and</w:t>
      </w:r>
      <w:r w:rsidRPr="00174451">
        <w:rPr>
          <w:sz w:val="22"/>
        </w:rPr>
        <w:t xml:space="preserve"> militarization, reduced spending on and privatization of public goods such as health, education services </w:t>
      </w:r>
      <w:r w:rsidR="00D73605" w:rsidRPr="00174451">
        <w:rPr>
          <w:sz w:val="22"/>
        </w:rPr>
        <w:t>and</w:t>
      </w:r>
      <w:r w:rsidRPr="00174451">
        <w:rPr>
          <w:sz w:val="22"/>
        </w:rPr>
        <w:t xml:space="preserve"> social protection and increasing patriarchy and fundamentalisms across the region in recent years have</w:t>
      </w:r>
      <w:r w:rsidR="00C52CDD" w:rsidRPr="00174451">
        <w:rPr>
          <w:sz w:val="22"/>
        </w:rPr>
        <w:t xml:space="preserve"> only</w:t>
      </w:r>
      <w:r w:rsidRPr="00174451">
        <w:rPr>
          <w:sz w:val="22"/>
        </w:rPr>
        <w:t xml:space="preserve"> propelled it further behind</w:t>
      </w:r>
      <w:r w:rsidR="00B67F0F" w:rsidRPr="006F1502">
        <w:rPr>
          <w:i/>
          <w:sz w:val="22"/>
          <w:u w:val="single"/>
        </w:rPr>
        <w:t xml:space="preserve">. </w:t>
      </w:r>
      <w:r w:rsidR="007000C0" w:rsidRPr="006F1502">
        <w:rPr>
          <w:i/>
          <w:sz w:val="22"/>
          <w:u w:val="single"/>
        </w:rPr>
        <w:t xml:space="preserve"> In this region</w:t>
      </w:r>
      <w:r w:rsidR="007000C0" w:rsidRPr="00174451">
        <w:rPr>
          <w:sz w:val="22"/>
        </w:rPr>
        <w:t xml:space="preserve">: </w:t>
      </w:r>
    </w:p>
    <w:p w14:paraId="263D22F4" w14:textId="0E6C38F2" w:rsidR="00AA3915" w:rsidRPr="00174451" w:rsidRDefault="003F20A8" w:rsidP="00C52CDD">
      <w:pPr>
        <w:pStyle w:val="ListParagraph"/>
        <w:numPr>
          <w:ilvl w:val="0"/>
          <w:numId w:val="7"/>
        </w:numPr>
        <w:ind w:left="180" w:hanging="180"/>
        <w:rPr>
          <w:color w:val="000000"/>
          <w:sz w:val="22"/>
        </w:rPr>
      </w:pPr>
      <w:r w:rsidRPr="00174451">
        <w:rPr>
          <w:sz w:val="22"/>
        </w:rPr>
        <w:lastRenderedPageBreak/>
        <w:t xml:space="preserve">Developing countries </w:t>
      </w:r>
      <w:r w:rsidR="00C659FC" w:rsidRPr="00174451">
        <w:rPr>
          <w:sz w:val="22"/>
        </w:rPr>
        <w:t xml:space="preserve">are spending only 2% of </w:t>
      </w:r>
      <w:r w:rsidR="00C659FC" w:rsidRPr="00174451">
        <w:rPr>
          <w:b/>
          <w:bCs/>
          <w:sz w:val="22"/>
        </w:rPr>
        <w:t>GDP</w:t>
      </w:r>
      <w:r w:rsidR="00C659FC" w:rsidRPr="00174451">
        <w:rPr>
          <w:sz w:val="22"/>
        </w:rPr>
        <w:t xml:space="preserve"> </w:t>
      </w:r>
      <w:r w:rsidR="00C659FC" w:rsidRPr="00174451">
        <w:rPr>
          <w:b/>
          <w:bCs/>
          <w:sz w:val="22"/>
        </w:rPr>
        <w:t>on health</w:t>
      </w:r>
      <w:r w:rsidR="00C659FC" w:rsidRPr="00174451">
        <w:rPr>
          <w:sz w:val="22"/>
        </w:rPr>
        <w:t xml:space="preserve"> (compared to</w:t>
      </w:r>
      <w:r w:rsidRPr="00174451">
        <w:rPr>
          <w:sz w:val="22"/>
        </w:rPr>
        <w:t xml:space="preserve"> global average of 4.7</w:t>
      </w:r>
      <w:r w:rsidR="00B67098">
        <w:rPr>
          <w:sz w:val="22"/>
        </w:rPr>
        <w:t>%</w:t>
      </w:r>
      <w:r w:rsidR="003604E1">
        <w:rPr>
          <w:sz w:val="22"/>
        </w:rPr>
        <w:t xml:space="preserve">) </w:t>
      </w:r>
      <w:r w:rsidR="00C659FC" w:rsidRPr="00174451">
        <w:rPr>
          <w:color w:val="000000"/>
          <w:sz w:val="22"/>
        </w:rPr>
        <w:t xml:space="preserve"> </w:t>
      </w:r>
      <w:r w:rsidRPr="00174451">
        <w:rPr>
          <w:color w:val="000000"/>
          <w:sz w:val="22"/>
        </w:rPr>
        <w:t xml:space="preserve"> </w:t>
      </w:r>
      <w:r w:rsidR="006F1502">
        <w:rPr>
          <w:color w:val="000000"/>
          <w:sz w:val="22"/>
        </w:rPr>
        <w:t>T</w:t>
      </w:r>
      <w:r w:rsidR="00AA3915" w:rsidRPr="00174451">
        <w:rPr>
          <w:color w:val="000000"/>
          <w:sz w:val="22"/>
        </w:rPr>
        <w:t xml:space="preserve">he </w:t>
      </w:r>
      <w:r w:rsidRPr="00174451">
        <w:rPr>
          <w:color w:val="000000"/>
          <w:sz w:val="22"/>
        </w:rPr>
        <w:t xml:space="preserve">average </w:t>
      </w:r>
      <w:r w:rsidR="00AA3915" w:rsidRPr="00174451">
        <w:rPr>
          <w:color w:val="000000"/>
          <w:sz w:val="22"/>
        </w:rPr>
        <w:t xml:space="preserve">share </w:t>
      </w:r>
      <w:r w:rsidRPr="00174451">
        <w:rPr>
          <w:color w:val="000000"/>
          <w:sz w:val="22"/>
        </w:rPr>
        <w:t xml:space="preserve">of </w:t>
      </w:r>
      <w:r w:rsidR="00AA3915" w:rsidRPr="00174451">
        <w:rPr>
          <w:b/>
          <w:bCs/>
          <w:color w:val="000000"/>
          <w:sz w:val="22"/>
        </w:rPr>
        <w:t xml:space="preserve">out-of-pocket </w:t>
      </w:r>
      <w:r w:rsidR="00C52CDD" w:rsidRPr="00174451">
        <w:rPr>
          <w:b/>
          <w:bCs/>
          <w:color w:val="000000"/>
          <w:sz w:val="22"/>
        </w:rPr>
        <w:t xml:space="preserve">spending </w:t>
      </w:r>
      <w:r w:rsidR="00AA3915" w:rsidRPr="00174451">
        <w:rPr>
          <w:b/>
          <w:bCs/>
          <w:color w:val="000000"/>
          <w:sz w:val="22"/>
        </w:rPr>
        <w:t>on health</w:t>
      </w:r>
      <w:r w:rsidR="00C52CDD" w:rsidRPr="00174451">
        <w:rPr>
          <w:b/>
          <w:bCs/>
          <w:color w:val="000000"/>
          <w:sz w:val="22"/>
        </w:rPr>
        <w:t xml:space="preserve"> </w:t>
      </w:r>
      <w:r w:rsidR="00C52CDD" w:rsidRPr="00174451">
        <w:rPr>
          <w:color w:val="000000"/>
          <w:sz w:val="22"/>
        </w:rPr>
        <w:t>has increased from 47.1% to 48.2% in low and lower-middle income countries</w:t>
      </w:r>
      <w:r w:rsidR="00C52CDD" w:rsidRPr="00174451">
        <w:rPr>
          <w:rStyle w:val="EndnoteReference"/>
          <w:color w:val="000000"/>
          <w:sz w:val="22"/>
        </w:rPr>
        <w:endnoteReference w:id="6"/>
      </w:r>
      <w:r w:rsidR="006F1502">
        <w:rPr>
          <w:color w:val="000000"/>
          <w:sz w:val="22"/>
        </w:rPr>
        <w:t xml:space="preserve"> since 2010; it declined in </w:t>
      </w:r>
      <w:r w:rsidR="00C52CDD" w:rsidRPr="00174451">
        <w:rPr>
          <w:color w:val="000000"/>
          <w:sz w:val="22"/>
        </w:rPr>
        <w:t>high- and upper-middle income countries to 21.4% and 25.6%.</w:t>
      </w:r>
    </w:p>
    <w:p w14:paraId="3FB4006E" w14:textId="647A64C1" w:rsidR="002555DC" w:rsidRPr="00174451" w:rsidRDefault="003604E1" w:rsidP="006870BF">
      <w:pPr>
        <w:pStyle w:val="ListParagraph"/>
        <w:numPr>
          <w:ilvl w:val="0"/>
          <w:numId w:val="7"/>
        </w:numPr>
        <w:ind w:left="180" w:hanging="180"/>
        <w:rPr>
          <w:sz w:val="22"/>
        </w:rPr>
      </w:pPr>
      <w:r>
        <w:rPr>
          <w:sz w:val="22"/>
        </w:rPr>
        <w:t>Only a</w:t>
      </w:r>
      <w:r w:rsidRPr="00174451">
        <w:rPr>
          <w:sz w:val="22"/>
        </w:rPr>
        <w:t xml:space="preserve"> </w:t>
      </w:r>
      <w:r>
        <w:rPr>
          <w:sz w:val="22"/>
        </w:rPr>
        <w:t xml:space="preserve">few </w:t>
      </w:r>
      <w:r w:rsidRPr="00174451">
        <w:rPr>
          <w:sz w:val="22"/>
        </w:rPr>
        <w:t>developing countries</w:t>
      </w:r>
      <w:r w:rsidR="00C86942">
        <w:rPr>
          <w:sz w:val="22"/>
        </w:rPr>
        <w:t xml:space="preserve"> like </w:t>
      </w:r>
      <w:r w:rsidRPr="00174451">
        <w:rPr>
          <w:sz w:val="22"/>
        </w:rPr>
        <w:t>Bhutan, China, Georgia, Maldives, Sri Lanka and Thailand</w:t>
      </w:r>
      <w:r w:rsidR="00B67098">
        <w:rPr>
          <w:sz w:val="22"/>
        </w:rPr>
        <w:t>,</w:t>
      </w:r>
      <w:r w:rsidRPr="00174451">
        <w:rPr>
          <w:sz w:val="22"/>
        </w:rPr>
        <w:t xml:space="preserve"> have universal health care </w:t>
      </w:r>
      <w:r w:rsidR="00FE1598">
        <w:rPr>
          <w:sz w:val="22"/>
        </w:rPr>
        <w:t xml:space="preserve">(UHC) </w:t>
      </w:r>
      <w:r w:rsidRPr="00174451">
        <w:rPr>
          <w:sz w:val="22"/>
        </w:rPr>
        <w:t>systems.</w:t>
      </w:r>
      <w:r w:rsidRPr="00174451">
        <w:rPr>
          <w:rStyle w:val="EndnoteReference"/>
          <w:sz w:val="22"/>
        </w:rPr>
        <w:endnoteReference w:id="7"/>
      </w:r>
      <w:r>
        <w:rPr>
          <w:sz w:val="22"/>
        </w:rPr>
        <w:t xml:space="preserve"> </w:t>
      </w:r>
      <w:r w:rsidR="00585CD7" w:rsidRPr="00174451">
        <w:rPr>
          <w:sz w:val="22"/>
        </w:rPr>
        <w:t xml:space="preserve">Over 40% people have no </w:t>
      </w:r>
      <w:r w:rsidR="00585CD7" w:rsidRPr="00174451">
        <w:rPr>
          <w:b/>
          <w:bCs/>
          <w:sz w:val="22"/>
        </w:rPr>
        <w:t>access to health care</w:t>
      </w:r>
      <w:r w:rsidR="003F20A8" w:rsidRPr="00174451">
        <w:rPr>
          <w:sz w:val="22"/>
        </w:rPr>
        <w:t xml:space="preserve">. </w:t>
      </w:r>
      <w:r w:rsidR="00585CD7" w:rsidRPr="00174451">
        <w:rPr>
          <w:sz w:val="22"/>
        </w:rPr>
        <w:t xml:space="preserve"> </w:t>
      </w:r>
      <w:bookmarkStart w:id="2" w:name="_Hlk40638118"/>
    </w:p>
    <w:p w14:paraId="4FCCC074" w14:textId="1E54B125" w:rsidR="006870BF" w:rsidRPr="00174451" w:rsidRDefault="00E27F10" w:rsidP="006870BF">
      <w:pPr>
        <w:pStyle w:val="ListParagraph"/>
        <w:numPr>
          <w:ilvl w:val="0"/>
          <w:numId w:val="7"/>
        </w:numPr>
        <w:ind w:left="180" w:hanging="180"/>
        <w:rPr>
          <w:sz w:val="22"/>
        </w:rPr>
      </w:pPr>
      <w:r w:rsidRPr="00174451">
        <w:rPr>
          <w:sz w:val="22"/>
        </w:rPr>
        <w:t>Despite physical, mental, social, political and economic persecution,</w:t>
      </w:r>
      <w:r w:rsidR="00593257" w:rsidRPr="00593257">
        <w:rPr>
          <w:sz w:val="22"/>
        </w:rPr>
        <w:t xml:space="preserve"> </w:t>
      </w:r>
      <w:r w:rsidR="00593257" w:rsidRPr="00174451">
        <w:rPr>
          <w:sz w:val="22"/>
        </w:rPr>
        <w:t>LGBTIQA+</w:t>
      </w:r>
      <w:r w:rsidRPr="00174451">
        <w:rPr>
          <w:sz w:val="22"/>
        </w:rPr>
        <w:t xml:space="preserve">-affirming and inclusive </w:t>
      </w:r>
      <w:r w:rsidR="00785EF9" w:rsidRPr="00174451">
        <w:rPr>
          <w:sz w:val="22"/>
        </w:rPr>
        <w:t xml:space="preserve">mental health </w:t>
      </w:r>
      <w:r w:rsidRPr="00174451">
        <w:rPr>
          <w:sz w:val="22"/>
        </w:rPr>
        <w:t xml:space="preserve">services </w:t>
      </w:r>
      <w:r w:rsidR="002D6533" w:rsidRPr="00174451">
        <w:rPr>
          <w:sz w:val="22"/>
        </w:rPr>
        <w:t xml:space="preserve">are largely inaccessible </w:t>
      </w:r>
      <w:r w:rsidRPr="00174451">
        <w:rPr>
          <w:sz w:val="22"/>
        </w:rPr>
        <w:t xml:space="preserve">and stigmatized for </w:t>
      </w:r>
      <w:r w:rsidR="00593257" w:rsidRPr="00174451">
        <w:rPr>
          <w:sz w:val="22"/>
        </w:rPr>
        <w:t>LGBTIQA+</w:t>
      </w:r>
      <w:r w:rsidR="00593257">
        <w:rPr>
          <w:sz w:val="22"/>
        </w:rPr>
        <w:t xml:space="preserve"> </w:t>
      </w:r>
      <w:r w:rsidRPr="00174451">
        <w:rPr>
          <w:sz w:val="22"/>
        </w:rPr>
        <w:t>minorities, women and girls.</w:t>
      </w:r>
      <w:r w:rsidRPr="00174451">
        <w:rPr>
          <w:rStyle w:val="EndnoteReference"/>
          <w:sz w:val="22"/>
        </w:rPr>
        <w:endnoteReference w:id="8"/>
      </w:r>
      <w:r w:rsidR="00C52CDD" w:rsidRPr="00174451">
        <w:rPr>
          <w:sz w:val="22"/>
        </w:rPr>
        <w:t xml:space="preserve">  </w:t>
      </w:r>
    </w:p>
    <w:p w14:paraId="70E7E20E" w14:textId="3D16374C" w:rsidR="00C52CDD" w:rsidRPr="00B51CD4" w:rsidRDefault="00C52CDD" w:rsidP="00C52CDD">
      <w:pPr>
        <w:pStyle w:val="ListParagraph"/>
        <w:numPr>
          <w:ilvl w:val="0"/>
          <w:numId w:val="7"/>
        </w:numPr>
        <w:ind w:left="180" w:hanging="180"/>
        <w:rPr>
          <w:sz w:val="22"/>
        </w:rPr>
      </w:pPr>
      <w:r w:rsidRPr="00174451">
        <w:rPr>
          <w:sz w:val="22"/>
        </w:rPr>
        <w:t xml:space="preserve">Same sex sexual acts are illegal in 27 countries (2019).  </w:t>
      </w:r>
      <w:r w:rsidR="0043091E">
        <w:rPr>
          <w:sz w:val="22"/>
        </w:rPr>
        <w:t xml:space="preserve">And </w:t>
      </w:r>
      <w:r w:rsidRPr="00174451">
        <w:rPr>
          <w:sz w:val="22"/>
        </w:rPr>
        <w:t>where it’s not illegal, there are no protective laws for LGBTIQA+.</w:t>
      </w:r>
      <w:r w:rsidRPr="00174451">
        <w:rPr>
          <w:rStyle w:val="EndnoteReference"/>
          <w:sz w:val="22"/>
        </w:rPr>
        <w:endnoteReference w:id="9"/>
      </w:r>
      <w:r w:rsidRPr="00174451">
        <w:rPr>
          <w:sz w:val="22"/>
        </w:rPr>
        <w:t xml:space="preserve">  </w:t>
      </w:r>
      <w:r w:rsidR="00B51CD4" w:rsidRPr="00B51CD4">
        <w:rPr>
          <w:sz w:val="22"/>
        </w:rPr>
        <w:t>And in some countries non-adherence to strict gendered dress codes results in penalties in schools and colleges for the non-binary and LGBTIQA+ community.</w:t>
      </w:r>
      <w:r w:rsidR="00B51CD4" w:rsidRPr="00B51CD4">
        <w:rPr>
          <w:rStyle w:val="EndnoteReference"/>
          <w:sz w:val="22"/>
        </w:rPr>
        <w:endnoteReference w:id="10"/>
      </w:r>
    </w:p>
    <w:p w14:paraId="076F6B3D" w14:textId="6E874DE7" w:rsidR="00C52CDD" w:rsidRPr="00174451" w:rsidRDefault="003F20A8" w:rsidP="00C52CDD">
      <w:pPr>
        <w:pStyle w:val="ListParagraph"/>
        <w:numPr>
          <w:ilvl w:val="0"/>
          <w:numId w:val="7"/>
        </w:numPr>
        <w:ind w:left="180" w:hanging="180"/>
        <w:rPr>
          <w:sz w:val="22"/>
        </w:rPr>
      </w:pPr>
      <w:r w:rsidRPr="00174451">
        <w:rPr>
          <w:sz w:val="22"/>
        </w:rPr>
        <w:t xml:space="preserve">Approximately 1.6 billion people lack </w:t>
      </w:r>
      <w:r w:rsidRPr="00174451">
        <w:rPr>
          <w:b/>
          <w:bCs/>
          <w:sz w:val="22"/>
        </w:rPr>
        <w:t xml:space="preserve">access to basic sanitation, and </w:t>
      </w:r>
      <w:r w:rsidR="00585CD7" w:rsidRPr="00174451">
        <w:rPr>
          <w:sz w:val="22"/>
        </w:rPr>
        <w:t xml:space="preserve">260 </w:t>
      </w:r>
      <w:r w:rsidRPr="00174451">
        <w:rPr>
          <w:sz w:val="22"/>
        </w:rPr>
        <w:t>million</w:t>
      </w:r>
      <w:r w:rsidR="00585CD7" w:rsidRPr="00174451">
        <w:rPr>
          <w:sz w:val="22"/>
        </w:rPr>
        <w:t xml:space="preserve"> lack access to </w:t>
      </w:r>
      <w:r w:rsidR="00585CD7" w:rsidRPr="00174451">
        <w:rPr>
          <w:b/>
          <w:bCs/>
          <w:sz w:val="22"/>
        </w:rPr>
        <w:t>clean water at home.</w:t>
      </w:r>
      <w:r w:rsidR="00585CD7" w:rsidRPr="00174451">
        <w:rPr>
          <w:rStyle w:val="EndnoteReference"/>
          <w:sz w:val="22"/>
        </w:rPr>
        <w:endnoteReference w:id="11"/>
      </w:r>
      <w:r w:rsidR="00585CD7" w:rsidRPr="00174451">
        <w:rPr>
          <w:sz w:val="22"/>
        </w:rPr>
        <w:t xml:space="preserve"> </w:t>
      </w:r>
      <w:r w:rsidR="008F7E10" w:rsidRPr="00174451">
        <w:rPr>
          <w:sz w:val="22"/>
        </w:rPr>
        <w:t xml:space="preserve">Unsafe drinking water and poor sanitation contribute to people living with HIV becoming more susceptible to opportunistic </w:t>
      </w:r>
      <w:r w:rsidR="00C52CDD" w:rsidRPr="00174451">
        <w:rPr>
          <w:sz w:val="22"/>
        </w:rPr>
        <w:t>infections including diarrhea, and l</w:t>
      </w:r>
      <w:r w:rsidR="008F7E10" w:rsidRPr="00174451">
        <w:rPr>
          <w:sz w:val="22"/>
        </w:rPr>
        <w:t xml:space="preserve">ack of safe sanitation facilities for </w:t>
      </w:r>
      <w:r w:rsidR="00952D93" w:rsidRPr="00174451">
        <w:rPr>
          <w:sz w:val="22"/>
        </w:rPr>
        <w:t>women</w:t>
      </w:r>
      <w:r w:rsidR="008F7E10" w:rsidRPr="00174451">
        <w:rPr>
          <w:sz w:val="22"/>
        </w:rPr>
        <w:t xml:space="preserve"> and girls also increases vulnerability to violence</w:t>
      </w:r>
      <w:r w:rsidR="00BD466A" w:rsidRPr="00174451">
        <w:rPr>
          <w:sz w:val="22"/>
        </w:rPr>
        <w:t xml:space="preserve"> (see Entry Point 5).</w:t>
      </w:r>
    </w:p>
    <w:bookmarkEnd w:id="2"/>
    <w:p w14:paraId="169DCABE" w14:textId="4141BBA7" w:rsidR="00B67F0F" w:rsidRPr="00EC4811" w:rsidRDefault="003F20A8" w:rsidP="00996542">
      <w:pPr>
        <w:pStyle w:val="ListParagraph"/>
        <w:numPr>
          <w:ilvl w:val="0"/>
          <w:numId w:val="7"/>
        </w:numPr>
        <w:ind w:left="180"/>
        <w:rPr>
          <w:sz w:val="22"/>
        </w:rPr>
      </w:pPr>
      <w:r w:rsidRPr="00174451">
        <w:rPr>
          <w:sz w:val="22"/>
        </w:rPr>
        <w:t>An</w:t>
      </w:r>
      <w:r w:rsidR="00C52CDD" w:rsidRPr="00174451">
        <w:rPr>
          <w:sz w:val="22"/>
        </w:rPr>
        <w:t xml:space="preserve"> estimated 132 million</w:t>
      </w:r>
      <w:r w:rsidR="00585CD7" w:rsidRPr="00174451">
        <w:rPr>
          <w:sz w:val="22"/>
        </w:rPr>
        <w:t xml:space="preserve"> </w:t>
      </w:r>
      <w:r w:rsidR="00952D93" w:rsidRPr="00174451">
        <w:rPr>
          <w:sz w:val="22"/>
        </w:rPr>
        <w:t>women</w:t>
      </w:r>
      <w:r w:rsidR="00585CD7" w:rsidRPr="00174451">
        <w:rPr>
          <w:sz w:val="22"/>
        </w:rPr>
        <w:t xml:space="preserve"> still have an unmet need for </w:t>
      </w:r>
      <w:r w:rsidR="00585CD7" w:rsidRPr="00174451">
        <w:rPr>
          <w:b/>
          <w:bCs/>
          <w:sz w:val="22"/>
        </w:rPr>
        <w:t>contraception</w:t>
      </w:r>
      <w:r w:rsidR="00585CD7" w:rsidRPr="00174451">
        <w:rPr>
          <w:rStyle w:val="EndnoteReference"/>
          <w:sz w:val="22"/>
        </w:rPr>
        <w:endnoteReference w:id="12"/>
      </w:r>
      <w:r w:rsidR="00585CD7" w:rsidRPr="00174451">
        <w:rPr>
          <w:sz w:val="22"/>
        </w:rPr>
        <w:t>.</w:t>
      </w:r>
      <w:r w:rsidR="00882D63" w:rsidRPr="00174451">
        <w:rPr>
          <w:sz w:val="22"/>
        </w:rPr>
        <w:t xml:space="preserve"> In the Pacific, </w:t>
      </w:r>
      <w:r w:rsidR="00B35AF8" w:rsidRPr="00174451">
        <w:rPr>
          <w:sz w:val="22"/>
        </w:rPr>
        <w:t xml:space="preserve">the </w:t>
      </w:r>
      <w:r w:rsidR="007000C0" w:rsidRPr="00174451">
        <w:rPr>
          <w:sz w:val="22"/>
        </w:rPr>
        <w:t>contraceptive prevalence rate (CPR)</w:t>
      </w:r>
      <w:r w:rsidR="00B35AF8" w:rsidRPr="00174451">
        <w:rPr>
          <w:sz w:val="22"/>
        </w:rPr>
        <w:t xml:space="preserve"> for any method</w:t>
      </w:r>
      <w:r w:rsidR="00F6140A" w:rsidRPr="00174451">
        <w:rPr>
          <w:sz w:val="22"/>
        </w:rPr>
        <w:t xml:space="preserve"> </w:t>
      </w:r>
      <w:r w:rsidR="00B35AF8" w:rsidRPr="00174451">
        <w:rPr>
          <w:sz w:val="22"/>
        </w:rPr>
        <w:t xml:space="preserve">in </w:t>
      </w:r>
      <w:r w:rsidR="00882D63" w:rsidRPr="00174451">
        <w:rPr>
          <w:sz w:val="22"/>
        </w:rPr>
        <w:t>S</w:t>
      </w:r>
      <w:r w:rsidR="007000C0" w:rsidRPr="00174451">
        <w:rPr>
          <w:sz w:val="22"/>
        </w:rPr>
        <w:t>amoa and Solomon Islands has</w:t>
      </w:r>
      <w:r w:rsidR="00B35AF8" w:rsidRPr="00174451">
        <w:rPr>
          <w:sz w:val="22"/>
        </w:rPr>
        <w:t xml:space="preserve"> declined steadily and </w:t>
      </w:r>
      <w:r w:rsidR="007000C0" w:rsidRPr="00174451">
        <w:rPr>
          <w:sz w:val="22"/>
        </w:rPr>
        <w:t xml:space="preserve">is </w:t>
      </w:r>
      <w:r w:rsidRPr="00174451">
        <w:rPr>
          <w:sz w:val="22"/>
        </w:rPr>
        <w:t>staggeringly low at 16.7%</w:t>
      </w:r>
      <w:r w:rsidR="00B35AF8" w:rsidRPr="00174451">
        <w:rPr>
          <w:sz w:val="22"/>
        </w:rPr>
        <w:t xml:space="preserve"> </w:t>
      </w:r>
      <w:r w:rsidRPr="00174451">
        <w:rPr>
          <w:sz w:val="22"/>
        </w:rPr>
        <w:t>(2014) and 21.3% (</w:t>
      </w:r>
      <w:r w:rsidR="00B35AF8" w:rsidRPr="00174451">
        <w:rPr>
          <w:sz w:val="22"/>
        </w:rPr>
        <w:t>2015), respectively.</w:t>
      </w:r>
      <w:r w:rsidR="00F6140A" w:rsidRPr="00174451">
        <w:rPr>
          <w:sz w:val="22"/>
        </w:rPr>
        <w:t xml:space="preserve"> CPR for modern methods has also declined in tandem</w:t>
      </w:r>
      <w:r w:rsidR="005E395B">
        <w:rPr>
          <w:sz w:val="22"/>
        </w:rPr>
        <w:t xml:space="preserve">, and in </w:t>
      </w:r>
      <w:r w:rsidRPr="00174451">
        <w:rPr>
          <w:sz w:val="22"/>
        </w:rPr>
        <w:t xml:space="preserve">some </w:t>
      </w:r>
      <w:r w:rsidRPr="00EC4811">
        <w:rPr>
          <w:sz w:val="22"/>
        </w:rPr>
        <w:t>parts of the Pacific</w:t>
      </w:r>
      <w:r w:rsidR="00E11756" w:rsidRPr="00EC4811">
        <w:rPr>
          <w:sz w:val="22"/>
        </w:rPr>
        <w:t xml:space="preserve"> regular stockouts of contraception </w:t>
      </w:r>
      <w:r w:rsidRPr="00EC4811">
        <w:rPr>
          <w:sz w:val="22"/>
        </w:rPr>
        <w:t>limit</w:t>
      </w:r>
      <w:r w:rsidR="00E11756" w:rsidRPr="00EC4811">
        <w:rPr>
          <w:sz w:val="22"/>
        </w:rPr>
        <w:t xml:space="preserve"> </w:t>
      </w:r>
      <w:r w:rsidRPr="00EC4811">
        <w:rPr>
          <w:sz w:val="22"/>
        </w:rPr>
        <w:t>women’s choices and</w:t>
      </w:r>
      <w:r w:rsidR="005E395B" w:rsidRPr="00EC4811">
        <w:rPr>
          <w:sz w:val="22"/>
        </w:rPr>
        <w:t xml:space="preserve"> they are</w:t>
      </w:r>
      <w:r w:rsidR="00E11756" w:rsidRPr="00EC4811">
        <w:rPr>
          <w:sz w:val="22"/>
        </w:rPr>
        <w:t xml:space="preserve"> often only able to access contraception through temporary international aid programs</w:t>
      </w:r>
      <w:r w:rsidR="005E395B" w:rsidRPr="00EC4811">
        <w:rPr>
          <w:rStyle w:val="EndnoteReference"/>
          <w:sz w:val="22"/>
        </w:rPr>
        <w:endnoteReference w:id="13"/>
      </w:r>
      <w:r w:rsidR="00E11756" w:rsidRPr="00EC4811">
        <w:rPr>
          <w:sz w:val="22"/>
        </w:rPr>
        <w:t>.</w:t>
      </w:r>
    </w:p>
    <w:p w14:paraId="2D96ADE1" w14:textId="77777777" w:rsidR="00EC4811" w:rsidRDefault="00585CD7" w:rsidP="00EC4811">
      <w:pPr>
        <w:pStyle w:val="ListParagraph"/>
        <w:numPr>
          <w:ilvl w:val="0"/>
          <w:numId w:val="7"/>
        </w:numPr>
        <w:ind w:left="180" w:hanging="180"/>
        <w:rPr>
          <w:sz w:val="22"/>
        </w:rPr>
      </w:pPr>
      <w:r w:rsidRPr="00EC4811">
        <w:rPr>
          <w:sz w:val="22"/>
        </w:rPr>
        <w:t xml:space="preserve"> </w:t>
      </w:r>
      <w:r w:rsidR="005E395B" w:rsidRPr="00EC4811">
        <w:rPr>
          <w:sz w:val="22"/>
        </w:rPr>
        <w:t>Ma</w:t>
      </w:r>
      <w:r w:rsidRPr="00EC4811">
        <w:rPr>
          <w:b/>
          <w:bCs/>
          <w:sz w:val="22"/>
        </w:rPr>
        <w:t>ternal mortality</w:t>
      </w:r>
      <w:r w:rsidRPr="00EC4811">
        <w:rPr>
          <w:sz w:val="22"/>
        </w:rPr>
        <w:t xml:space="preserve"> was more than 4 times higher in lower-middle and low-income countries than in upper-middle income countries, and more than 10 time</w:t>
      </w:r>
      <w:r w:rsidR="007000C0" w:rsidRPr="00EC4811">
        <w:rPr>
          <w:sz w:val="22"/>
        </w:rPr>
        <w:t xml:space="preserve">s higher than in high-income </w:t>
      </w:r>
      <w:r w:rsidRPr="00EC4811">
        <w:rPr>
          <w:sz w:val="22"/>
        </w:rPr>
        <w:t>countries</w:t>
      </w:r>
      <w:r w:rsidR="005E395B" w:rsidRPr="00EC4811">
        <w:rPr>
          <w:sz w:val="22"/>
        </w:rPr>
        <w:t xml:space="preserve"> </w:t>
      </w:r>
      <w:r w:rsidR="00EC4811" w:rsidRPr="00EC4811">
        <w:rPr>
          <w:sz w:val="22"/>
        </w:rPr>
        <w:t>(2015)</w:t>
      </w:r>
      <w:r w:rsidRPr="00EC4811">
        <w:rPr>
          <w:sz w:val="22"/>
        </w:rPr>
        <w:t>.</w:t>
      </w:r>
      <w:r w:rsidRPr="00EC4811">
        <w:rPr>
          <w:rStyle w:val="EndnoteReference"/>
          <w:sz w:val="22"/>
        </w:rPr>
        <w:endnoteReference w:id="14"/>
      </w:r>
      <w:r w:rsidR="003F20A8" w:rsidRPr="00EC4811">
        <w:rPr>
          <w:sz w:val="22"/>
        </w:rPr>
        <w:t xml:space="preserve"> </w:t>
      </w:r>
      <w:r w:rsidR="00565770" w:rsidRPr="00EC4811">
        <w:rPr>
          <w:sz w:val="22"/>
        </w:rPr>
        <w:t xml:space="preserve">In </w:t>
      </w:r>
      <w:r w:rsidR="00882D63" w:rsidRPr="00EC4811">
        <w:rPr>
          <w:sz w:val="22"/>
        </w:rPr>
        <w:t>the Pacific, MMR varies significantly across countries, being as high as 215</w:t>
      </w:r>
      <w:r w:rsidR="00EC4811" w:rsidRPr="00EC4811">
        <w:rPr>
          <w:sz w:val="22"/>
        </w:rPr>
        <w:t xml:space="preserve"> per </w:t>
      </w:r>
      <w:r w:rsidR="00882D63" w:rsidRPr="00EC4811">
        <w:rPr>
          <w:sz w:val="22"/>
        </w:rPr>
        <w:t>100,000 live births in Papua New Guinea.</w:t>
      </w:r>
    </w:p>
    <w:p w14:paraId="5FE154CF" w14:textId="0899566D" w:rsidR="00585CD7" w:rsidRPr="00EC4811" w:rsidRDefault="00EC4811" w:rsidP="00EC4811">
      <w:pPr>
        <w:pStyle w:val="ListParagraph"/>
        <w:numPr>
          <w:ilvl w:val="0"/>
          <w:numId w:val="7"/>
        </w:numPr>
        <w:ind w:left="180" w:hanging="180"/>
        <w:rPr>
          <w:sz w:val="22"/>
        </w:rPr>
      </w:pPr>
      <w:r>
        <w:rPr>
          <w:sz w:val="22"/>
        </w:rPr>
        <w:t xml:space="preserve"> </w:t>
      </w:r>
      <w:r w:rsidR="00585CD7" w:rsidRPr="00EC4811">
        <w:rPr>
          <w:sz w:val="22"/>
        </w:rPr>
        <w:t xml:space="preserve">The divide in access to </w:t>
      </w:r>
      <w:r w:rsidR="00585CD7" w:rsidRPr="00EC4811">
        <w:rPr>
          <w:b/>
          <w:bCs/>
          <w:sz w:val="22"/>
        </w:rPr>
        <w:t>skilled birth attendance</w:t>
      </w:r>
      <w:r w:rsidR="00585CD7" w:rsidRPr="00EC4811">
        <w:rPr>
          <w:sz w:val="22"/>
        </w:rPr>
        <w:t xml:space="preserve"> (SBA) between the rich and the poor within countries remains high, with Armenia, Kazakhstan and Uzbekistan the only exceptions to extend SBA irrespective of women’s wealth quintile.</w:t>
      </w:r>
      <w:r w:rsidR="00585CD7" w:rsidRPr="00174451">
        <w:rPr>
          <w:rStyle w:val="EndnoteReference"/>
          <w:sz w:val="22"/>
        </w:rPr>
        <w:endnoteReference w:id="15"/>
      </w:r>
      <w:r w:rsidR="00585CD7" w:rsidRPr="00EC4811">
        <w:rPr>
          <w:sz w:val="22"/>
        </w:rPr>
        <w:t xml:space="preserve"> </w:t>
      </w:r>
    </w:p>
    <w:p w14:paraId="4CAE00CE" w14:textId="52B16519" w:rsidR="00585CD7" w:rsidRPr="00174451" w:rsidRDefault="00585CD7" w:rsidP="00585CD7">
      <w:pPr>
        <w:pStyle w:val="ListParagraph"/>
        <w:numPr>
          <w:ilvl w:val="0"/>
          <w:numId w:val="7"/>
        </w:numPr>
        <w:ind w:left="180" w:hanging="180"/>
        <w:rPr>
          <w:sz w:val="22"/>
        </w:rPr>
      </w:pPr>
      <w:r w:rsidRPr="00174451">
        <w:rPr>
          <w:sz w:val="22"/>
        </w:rPr>
        <w:t xml:space="preserve">53.8 </w:t>
      </w:r>
      <w:r w:rsidR="003F20A8" w:rsidRPr="00174451">
        <w:rPr>
          <w:sz w:val="22"/>
        </w:rPr>
        <w:t>million</w:t>
      </w:r>
      <w:r w:rsidRPr="00174451">
        <w:rPr>
          <w:sz w:val="22"/>
        </w:rPr>
        <w:t xml:space="preserve"> </w:t>
      </w:r>
      <w:r w:rsidRPr="00174451">
        <w:rPr>
          <w:b/>
          <w:bCs/>
          <w:sz w:val="22"/>
        </w:rPr>
        <w:t>unintended pregnancies</w:t>
      </w:r>
      <w:r w:rsidRPr="00174451">
        <w:rPr>
          <w:sz w:val="22"/>
        </w:rPr>
        <w:t xml:space="preserve"> occur each year </w:t>
      </w:r>
      <w:r w:rsidR="007000C0" w:rsidRPr="00174451">
        <w:rPr>
          <w:sz w:val="22"/>
        </w:rPr>
        <w:t>in Asia</w:t>
      </w:r>
      <w:r w:rsidR="007A148D" w:rsidRPr="00174451">
        <w:rPr>
          <w:sz w:val="22"/>
        </w:rPr>
        <w:t>,</w:t>
      </w:r>
      <w:r w:rsidR="007000C0" w:rsidRPr="00174451">
        <w:rPr>
          <w:sz w:val="22"/>
        </w:rPr>
        <w:t xml:space="preserve"> of which nearly 65%</w:t>
      </w:r>
      <w:r w:rsidRPr="00174451">
        <w:rPr>
          <w:sz w:val="22"/>
        </w:rPr>
        <w:t xml:space="preserve"> end in </w:t>
      </w:r>
      <w:r w:rsidRPr="00174451">
        <w:rPr>
          <w:b/>
          <w:bCs/>
          <w:sz w:val="22"/>
        </w:rPr>
        <w:t>abortion</w:t>
      </w:r>
      <w:r w:rsidRPr="00174451">
        <w:rPr>
          <w:sz w:val="22"/>
        </w:rPr>
        <w:t>.</w:t>
      </w:r>
      <w:r w:rsidRPr="00174451">
        <w:rPr>
          <w:rStyle w:val="EndnoteReference"/>
          <w:sz w:val="22"/>
        </w:rPr>
        <w:endnoteReference w:id="16"/>
      </w:r>
      <w:r w:rsidR="003F20A8" w:rsidRPr="00174451">
        <w:rPr>
          <w:sz w:val="22"/>
        </w:rPr>
        <w:t xml:space="preserve"> In Oceania </w:t>
      </w:r>
      <w:r w:rsidRPr="00174451">
        <w:rPr>
          <w:sz w:val="22"/>
        </w:rPr>
        <w:t xml:space="preserve">4,000 unintended pregnancies </w:t>
      </w:r>
      <w:r w:rsidR="003F20A8" w:rsidRPr="00174451">
        <w:rPr>
          <w:sz w:val="22"/>
        </w:rPr>
        <w:t>occur each year, with</w:t>
      </w:r>
      <w:r w:rsidRPr="00174451">
        <w:rPr>
          <w:sz w:val="22"/>
        </w:rPr>
        <w:t xml:space="preserve"> 38% end</w:t>
      </w:r>
      <w:r w:rsidR="003F20A8" w:rsidRPr="00174451">
        <w:rPr>
          <w:sz w:val="22"/>
        </w:rPr>
        <w:t>ing</w:t>
      </w:r>
      <w:r w:rsidRPr="00174451">
        <w:rPr>
          <w:sz w:val="22"/>
        </w:rPr>
        <w:t xml:space="preserve"> in abortion. In countries where </w:t>
      </w:r>
      <w:r w:rsidR="00952D93" w:rsidRPr="00174451">
        <w:rPr>
          <w:sz w:val="22"/>
        </w:rPr>
        <w:t>women</w:t>
      </w:r>
      <w:r w:rsidRPr="00174451">
        <w:rPr>
          <w:sz w:val="22"/>
        </w:rPr>
        <w:t xml:space="preserve"> lack access to safe abortion there is accompanying lack of access to contraceptives. Abortion is not permitted for any reason in</w:t>
      </w:r>
      <w:r w:rsidR="007A148D" w:rsidRPr="00174451">
        <w:rPr>
          <w:sz w:val="22"/>
        </w:rPr>
        <w:t xml:space="preserve"> only</w:t>
      </w:r>
      <w:r w:rsidRPr="00174451">
        <w:rPr>
          <w:sz w:val="22"/>
        </w:rPr>
        <w:t xml:space="preserve"> two coun</w:t>
      </w:r>
      <w:r w:rsidR="007A148D" w:rsidRPr="00174451">
        <w:rPr>
          <w:sz w:val="22"/>
        </w:rPr>
        <w:t>tries, Laos and the Philippines</w:t>
      </w:r>
      <w:r w:rsidRPr="00174451">
        <w:rPr>
          <w:sz w:val="22"/>
        </w:rPr>
        <w:t xml:space="preserve">. </w:t>
      </w:r>
    </w:p>
    <w:p w14:paraId="0EB8FF95" w14:textId="35559644" w:rsidR="00F6140A" w:rsidRPr="00174451" w:rsidRDefault="008A2995" w:rsidP="00BA430B">
      <w:pPr>
        <w:pStyle w:val="ListParagraph"/>
        <w:numPr>
          <w:ilvl w:val="0"/>
          <w:numId w:val="7"/>
        </w:numPr>
        <w:ind w:left="180" w:hanging="180"/>
        <w:rPr>
          <w:sz w:val="22"/>
        </w:rPr>
      </w:pPr>
      <w:r w:rsidRPr="00174451">
        <w:rPr>
          <w:b/>
          <w:bCs/>
          <w:sz w:val="22"/>
        </w:rPr>
        <w:t>A</w:t>
      </w:r>
      <w:r w:rsidR="00B27A22" w:rsidRPr="00174451">
        <w:rPr>
          <w:b/>
          <w:bCs/>
          <w:sz w:val="22"/>
        </w:rPr>
        <w:t xml:space="preserve">dolescent fertility </w:t>
      </w:r>
      <w:r w:rsidR="0044274C" w:rsidRPr="00174451">
        <w:rPr>
          <w:b/>
          <w:bCs/>
          <w:sz w:val="22"/>
        </w:rPr>
        <w:t xml:space="preserve">rates </w:t>
      </w:r>
      <w:r w:rsidR="00B27A22" w:rsidRPr="00174451">
        <w:rPr>
          <w:b/>
          <w:bCs/>
          <w:sz w:val="22"/>
        </w:rPr>
        <w:t>remains</w:t>
      </w:r>
      <w:r w:rsidR="007A148D" w:rsidRPr="00174451">
        <w:rPr>
          <w:sz w:val="22"/>
        </w:rPr>
        <w:t xml:space="preserve"> high. </w:t>
      </w:r>
      <w:r w:rsidR="002618C3" w:rsidRPr="00174451">
        <w:rPr>
          <w:sz w:val="22"/>
        </w:rPr>
        <w:t>O</w:t>
      </w:r>
      <w:r w:rsidR="007A148D" w:rsidRPr="00174451">
        <w:rPr>
          <w:sz w:val="22"/>
        </w:rPr>
        <w:t>ne in seven girls has given birth by age</w:t>
      </w:r>
      <w:r w:rsidR="002618C3" w:rsidRPr="00174451">
        <w:rPr>
          <w:sz w:val="22"/>
        </w:rPr>
        <w:t xml:space="preserve"> 18</w:t>
      </w:r>
      <w:r w:rsidR="007A148D" w:rsidRPr="00174451">
        <w:rPr>
          <w:sz w:val="22"/>
        </w:rPr>
        <w:t>,</w:t>
      </w:r>
      <w:r w:rsidR="002618C3" w:rsidRPr="00174451">
        <w:rPr>
          <w:sz w:val="22"/>
        </w:rPr>
        <w:t xml:space="preserve"> often </w:t>
      </w:r>
      <w:r w:rsidR="007A148D" w:rsidRPr="00174451">
        <w:rPr>
          <w:sz w:val="22"/>
        </w:rPr>
        <w:t>a result of</w:t>
      </w:r>
      <w:r w:rsidR="002618C3" w:rsidRPr="00174451">
        <w:rPr>
          <w:sz w:val="22"/>
        </w:rPr>
        <w:t xml:space="preserve"> child marriage and high unmet need for contraception.</w:t>
      </w:r>
      <w:r w:rsidR="002618C3" w:rsidRPr="00174451">
        <w:rPr>
          <w:rStyle w:val="EndnoteReference"/>
          <w:sz w:val="22"/>
        </w:rPr>
        <w:endnoteReference w:id="17"/>
      </w:r>
      <w:r w:rsidR="002618C3" w:rsidRPr="00174451">
        <w:rPr>
          <w:sz w:val="22"/>
        </w:rPr>
        <w:t xml:space="preserve"> </w:t>
      </w:r>
      <w:r w:rsidR="00F0113E">
        <w:rPr>
          <w:sz w:val="22"/>
        </w:rPr>
        <w:t>A</w:t>
      </w:r>
      <w:r w:rsidR="00F6140A" w:rsidRPr="00F0113E">
        <w:rPr>
          <w:sz w:val="22"/>
        </w:rPr>
        <w:t>vailable data shows that AF</w:t>
      </w:r>
      <w:r w:rsidR="0044274C" w:rsidRPr="00F0113E">
        <w:rPr>
          <w:sz w:val="22"/>
        </w:rPr>
        <w:t>Rs continues to rise across the Pacific region exponentially</w:t>
      </w:r>
      <w:r w:rsidR="00F0113E">
        <w:rPr>
          <w:sz w:val="22"/>
        </w:rPr>
        <w:t>, w</w:t>
      </w:r>
      <w:r w:rsidR="00F0113E" w:rsidRPr="00F0113E">
        <w:rPr>
          <w:sz w:val="22"/>
        </w:rPr>
        <w:t>ith the exception of Tuvalu and Kiribati</w:t>
      </w:r>
      <w:r w:rsidR="00F0113E">
        <w:rPr>
          <w:sz w:val="22"/>
        </w:rPr>
        <w:t xml:space="preserve">. </w:t>
      </w:r>
    </w:p>
    <w:p w14:paraId="69AABF23" w14:textId="51B02942" w:rsidR="00BA430B" w:rsidRPr="00AF5976" w:rsidRDefault="002618C3" w:rsidP="00BA430B">
      <w:pPr>
        <w:pStyle w:val="ListParagraph"/>
        <w:numPr>
          <w:ilvl w:val="0"/>
          <w:numId w:val="7"/>
        </w:numPr>
        <w:ind w:left="180" w:hanging="180"/>
        <w:rPr>
          <w:sz w:val="22"/>
        </w:rPr>
      </w:pPr>
      <w:r w:rsidRPr="00174451">
        <w:rPr>
          <w:sz w:val="22"/>
        </w:rPr>
        <w:t>As many as 63% of pregnancies among girls</w:t>
      </w:r>
      <w:r w:rsidR="003A5E17" w:rsidRPr="00174451">
        <w:rPr>
          <w:sz w:val="22"/>
        </w:rPr>
        <w:t xml:space="preserve"> </w:t>
      </w:r>
      <w:r w:rsidRPr="00174451">
        <w:rPr>
          <w:sz w:val="22"/>
        </w:rPr>
        <w:t xml:space="preserve">15-19 years of age </w:t>
      </w:r>
      <w:r w:rsidR="00B05B25" w:rsidRPr="00174451">
        <w:rPr>
          <w:sz w:val="22"/>
        </w:rPr>
        <w:t xml:space="preserve">in the region </w:t>
      </w:r>
      <w:r w:rsidRPr="00174451">
        <w:rPr>
          <w:sz w:val="22"/>
        </w:rPr>
        <w:t>are unintended, leading to underreported burden of unsafe abortions.</w:t>
      </w:r>
      <w:r w:rsidR="007000C0" w:rsidRPr="00174451">
        <w:rPr>
          <w:sz w:val="22"/>
        </w:rPr>
        <w:t xml:space="preserve"> And g</w:t>
      </w:r>
      <w:r w:rsidR="008F7E10" w:rsidRPr="00174451">
        <w:rPr>
          <w:sz w:val="22"/>
        </w:rPr>
        <w:t xml:space="preserve">irls’ inability to manage their </w:t>
      </w:r>
      <w:r w:rsidR="008F7E10" w:rsidRPr="00174451">
        <w:rPr>
          <w:b/>
          <w:bCs/>
          <w:sz w:val="22"/>
        </w:rPr>
        <w:t>menstrual health</w:t>
      </w:r>
      <w:r w:rsidR="007000C0" w:rsidRPr="00174451">
        <w:rPr>
          <w:sz w:val="22"/>
        </w:rPr>
        <w:t xml:space="preserve"> </w:t>
      </w:r>
      <w:r w:rsidR="008F7E10" w:rsidRPr="00174451">
        <w:rPr>
          <w:sz w:val="22"/>
        </w:rPr>
        <w:t xml:space="preserve">compromises their </w:t>
      </w:r>
      <w:r w:rsidR="008F7E10" w:rsidRPr="00AF5976">
        <w:rPr>
          <w:sz w:val="22"/>
        </w:rPr>
        <w:t>ability to complete their education and navigate other aspects of their lives.</w:t>
      </w:r>
      <w:r w:rsidR="008F7E10" w:rsidRPr="00AF5976">
        <w:rPr>
          <w:rStyle w:val="EndnoteReference"/>
          <w:sz w:val="22"/>
        </w:rPr>
        <w:endnoteReference w:id="18"/>
      </w:r>
    </w:p>
    <w:p w14:paraId="43D11B7F" w14:textId="2D5439FE" w:rsidR="002618C3" w:rsidRPr="00AF5976" w:rsidRDefault="007000C0" w:rsidP="00BA430B">
      <w:pPr>
        <w:pStyle w:val="ListParagraph"/>
        <w:numPr>
          <w:ilvl w:val="0"/>
          <w:numId w:val="7"/>
        </w:numPr>
        <w:ind w:left="180" w:hanging="180"/>
        <w:rPr>
          <w:sz w:val="22"/>
        </w:rPr>
      </w:pPr>
      <w:r w:rsidRPr="00AF5976">
        <w:rPr>
          <w:sz w:val="22"/>
        </w:rPr>
        <w:t xml:space="preserve"> </w:t>
      </w:r>
      <w:r w:rsidR="007A148D" w:rsidRPr="00AF5976">
        <w:rPr>
          <w:sz w:val="22"/>
        </w:rPr>
        <w:t>In 31 countries b</w:t>
      </w:r>
      <w:r w:rsidRPr="00AF5976">
        <w:rPr>
          <w:sz w:val="22"/>
        </w:rPr>
        <w:t xml:space="preserve">etween </w:t>
      </w:r>
      <w:r w:rsidR="00B27A22" w:rsidRPr="00AF5976">
        <w:rPr>
          <w:sz w:val="22"/>
        </w:rPr>
        <w:t>4</w:t>
      </w:r>
      <w:r w:rsidRPr="00AF5976">
        <w:rPr>
          <w:sz w:val="22"/>
        </w:rPr>
        <w:t xml:space="preserve"> </w:t>
      </w:r>
      <w:r w:rsidR="00F0113E" w:rsidRPr="00AF5976">
        <w:rPr>
          <w:sz w:val="22"/>
        </w:rPr>
        <w:t xml:space="preserve">- </w:t>
      </w:r>
      <w:r w:rsidRPr="00AF5976">
        <w:rPr>
          <w:sz w:val="22"/>
        </w:rPr>
        <w:t>4</w:t>
      </w:r>
      <w:r w:rsidR="00B27A22" w:rsidRPr="00AF5976">
        <w:rPr>
          <w:sz w:val="22"/>
        </w:rPr>
        <w:t>6% of ever-partnered wom</w:t>
      </w:r>
      <w:r w:rsidR="002618C3" w:rsidRPr="00AF5976">
        <w:rPr>
          <w:sz w:val="22"/>
        </w:rPr>
        <w:t>e</w:t>
      </w:r>
      <w:r w:rsidR="00B27A22" w:rsidRPr="00AF5976">
        <w:rPr>
          <w:sz w:val="22"/>
        </w:rPr>
        <w:t>n</w:t>
      </w:r>
      <w:r w:rsidR="002618C3" w:rsidRPr="00AF5976">
        <w:rPr>
          <w:sz w:val="22"/>
        </w:rPr>
        <w:t xml:space="preserve"> </w:t>
      </w:r>
      <w:r w:rsidR="0099728E" w:rsidRPr="00AF5976">
        <w:rPr>
          <w:sz w:val="22"/>
        </w:rPr>
        <w:t>and</w:t>
      </w:r>
      <w:r w:rsidR="002618C3" w:rsidRPr="00AF5976">
        <w:rPr>
          <w:sz w:val="22"/>
        </w:rPr>
        <w:t xml:space="preserve"> </w:t>
      </w:r>
      <w:r w:rsidR="00B27A22" w:rsidRPr="00AF5976">
        <w:rPr>
          <w:sz w:val="22"/>
        </w:rPr>
        <w:t xml:space="preserve">girls aged 15 years </w:t>
      </w:r>
      <w:r w:rsidR="0099728E" w:rsidRPr="00AF5976">
        <w:rPr>
          <w:sz w:val="22"/>
        </w:rPr>
        <w:t>and</w:t>
      </w:r>
      <w:r w:rsidR="00B27A22" w:rsidRPr="00AF5976">
        <w:rPr>
          <w:sz w:val="22"/>
        </w:rPr>
        <w:t xml:space="preserve"> older have experienced </w:t>
      </w:r>
      <w:r w:rsidR="00B27A22" w:rsidRPr="00AF5976">
        <w:rPr>
          <w:b/>
          <w:bCs/>
          <w:sz w:val="22"/>
        </w:rPr>
        <w:t>physical and/or sexual violence</w:t>
      </w:r>
      <w:r w:rsidR="00B27A22" w:rsidRPr="00AF5976">
        <w:rPr>
          <w:sz w:val="22"/>
        </w:rPr>
        <w:t xml:space="preserve"> </w:t>
      </w:r>
      <w:r w:rsidR="007A148D" w:rsidRPr="00AF5976">
        <w:rPr>
          <w:sz w:val="22"/>
        </w:rPr>
        <w:t xml:space="preserve">between </w:t>
      </w:r>
      <w:r w:rsidRPr="00AF5976">
        <w:rPr>
          <w:sz w:val="22"/>
        </w:rPr>
        <w:t>2000-2019</w:t>
      </w:r>
      <w:r w:rsidR="00DC0F10" w:rsidRPr="00AF5976">
        <w:rPr>
          <w:sz w:val="22"/>
        </w:rPr>
        <w:t>.</w:t>
      </w:r>
      <w:r w:rsidR="004F070E" w:rsidRPr="00AF5976">
        <w:rPr>
          <w:rStyle w:val="EndnoteReference"/>
          <w:sz w:val="22"/>
        </w:rPr>
        <w:endnoteReference w:id="19"/>
      </w:r>
      <w:r w:rsidRPr="00AF5976">
        <w:rPr>
          <w:sz w:val="22"/>
        </w:rPr>
        <w:t xml:space="preserve"> </w:t>
      </w:r>
      <w:r w:rsidR="00BA430B" w:rsidRPr="00AF5976">
        <w:rPr>
          <w:sz w:val="22"/>
        </w:rPr>
        <w:t xml:space="preserve"> In 2018, </w:t>
      </w:r>
      <w:r w:rsidR="00B05B25" w:rsidRPr="00AF5976">
        <w:rPr>
          <w:sz w:val="22"/>
        </w:rPr>
        <w:t>as much as</w:t>
      </w:r>
      <w:r w:rsidR="00BA430B" w:rsidRPr="00AF5976">
        <w:rPr>
          <w:sz w:val="22"/>
        </w:rPr>
        <w:t xml:space="preserve"> 68% of women in Pacific Islands Countries report</w:t>
      </w:r>
      <w:r w:rsidR="00B05B25" w:rsidRPr="00AF5976">
        <w:rPr>
          <w:sz w:val="22"/>
        </w:rPr>
        <w:t>ed</w:t>
      </w:r>
      <w:r w:rsidR="00BA430B" w:rsidRPr="00AF5976">
        <w:rPr>
          <w:sz w:val="22"/>
        </w:rPr>
        <w:t xml:space="preserve"> having experienced gender-based violence.</w:t>
      </w:r>
      <w:r w:rsidR="00BA430B" w:rsidRPr="00AF5976">
        <w:rPr>
          <w:rStyle w:val="EndnoteReference"/>
          <w:sz w:val="22"/>
        </w:rPr>
        <w:endnoteReference w:id="20"/>
      </w:r>
    </w:p>
    <w:p w14:paraId="0B1F55F1" w14:textId="7A4303D2" w:rsidR="008F7E10" w:rsidRPr="00AF5976" w:rsidRDefault="007000C0" w:rsidP="008F7E10">
      <w:pPr>
        <w:pStyle w:val="ListParagraph"/>
        <w:numPr>
          <w:ilvl w:val="0"/>
          <w:numId w:val="7"/>
        </w:numPr>
        <w:ind w:left="180" w:hanging="180"/>
        <w:rPr>
          <w:sz w:val="22"/>
        </w:rPr>
      </w:pPr>
      <w:r w:rsidRPr="00AF5976">
        <w:rPr>
          <w:sz w:val="22"/>
        </w:rPr>
        <w:t>Most</w:t>
      </w:r>
      <w:r w:rsidR="008F7E10" w:rsidRPr="00AF5976">
        <w:rPr>
          <w:sz w:val="22"/>
        </w:rPr>
        <w:t xml:space="preserve"> countries do not</w:t>
      </w:r>
      <w:r w:rsidR="00A638BE" w:rsidRPr="00AF5976">
        <w:rPr>
          <w:sz w:val="22"/>
        </w:rPr>
        <w:t xml:space="preserve"> have </w:t>
      </w:r>
      <w:r w:rsidR="008F7E10" w:rsidRPr="00AF5976">
        <w:rPr>
          <w:b/>
          <w:bCs/>
          <w:sz w:val="22"/>
        </w:rPr>
        <w:t>comprehensive sexuality education</w:t>
      </w:r>
      <w:r w:rsidR="008F7E10" w:rsidRPr="00AF5976">
        <w:rPr>
          <w:sz w:val="22"/>
        </w:rPr>
        <w:t xml:space="preserve"> </w:t>
      </w:r>
      <w:r w:rsidR="00A638BE" w:rsidRPr="00AF5976">
        <w:rPr>
          <w:sz w:val="22"/>
        </w:rPr>
        <w:t xml:space="preserve">guidance </w:t>
      </w:r>
      <w:r w:rsidR="008F7E10" w:rsidRPr="00AF5976">
        <w:rPr>
          <w:sz w:val="22"/>
        </w:rPr>
        <w:t>and access to youth friendly SRH services in a single law/policy</w:t>
      </w:r>
      <w:r w:rsidR="008F7E10" w:rsidRPr="00AF5976">
        <w:rPr>
          <w:rStyle w:val="EndnoteReference"/>
          <w:sz w:val="22"/>
        </w:rPr>
        <w:endnoteReference w:id="21"/>
      </w:r>
      <w:r w:rsidR="00BD7A6C" w:rsidRPr="00AF5976">
        <w:rPr>
          <w:sz w:val="22"/>
        </w:rPr>
        <w:t xml:space="preserve"> despite the fact that it promotes better health, reduces violence and chances of unintended pregnancies, corrects power imbalances, prevents STI transmission, and delays sexual debut amongst youth.</w:t>
      </w:r>
      <w:r w:rsidR="008F7E10" w:rsidRPr="00AF5976">
        <w:rPr>
          <w:sz w:val="22"/>
        </w:rPr>
        <w:t xml:space="preserve"> </w:t>
      </w:r>
    </w:p>
    <w:p w14:paraId="6C5E6713" w14:textId="00C0372C" w:rsidR="00AA3915" w:rsidRPr="00174451" w:rsidRDefault="00AA3915" w:rsidP="00AA3915">
      <w:pPr>
        <w:pStyle w:val="ListParagraph"/>
        <w:numPr>
          <w:ilvl w:val="0"/>
          <w:numId w:val="7"/>
        </w:numPr>
        <w:ind w:left="180" w:hanging="180"/>
        <w:rPr>
          <w:sz w:val="22"/>
        </w:rPr>
      </w:pPr>
      <w:r w:rsidRPr="00174451">
        <w:rPr>
          <w:sz w:val="22"/>
        </w:rPr>
        <w:t xml:space="preserve">225 </w:t>
      </w:r>
      <w:r w:rsidR="00B51CD4">
        <w:rPr>
          <w:sz w:val="22"/>
        </w:rPr>
        <w:t>million</w:t>
      </w:r>
      <w:r w:rsidRPr="00174451">
        <w:rPr>
          <w:sz w:val="22"/>
        </w:rPr>
        <w:t xml:space="preserve"> </w:t>
      </w:r>
      <w:r w:rsidRPr="00174451">
        <w:rPr>
          <w:b/>
          <w:bCs/>
          <w:sz w:val="22"/>
        </w:rPr>
        <w:t>Dalits</w:t>
      </w:r>
      <w:r w:rsidRPr="00174451">
        <w:rPr>
          <w:sz w:val="22"/>
        </w:rPr>
        <w:t xml:space="preserve"> in South and South West Asia are routinely denied access to basic services due to caste </w:t>
      </w:r>
      <w:r w:rsidR="0099728E" w:rsidRPr="00174451">
        <w:rPr>
          <w:sz w:val="22"/>
        </w:rPr>
        <w:t>and</w:t>
      </w:r>
      <w:r w:rsidRPr="00174451">
        <w:rPr>
          <w:sz w:val="22"/>
        </w:rPr>
        <w:t xml:space="preserve"> descent-based discrimination – about 80% of whom liv</w:t>
      </w:r>
      <w:r w:rsidR="003F20A8" w:rsidRPr="00174451">
        <w:rPr>
          <w:sz w:val="22"/>
        </w:rPr>
        <w:t>e on less than $1.90 a day. W</w:t>
      </w:r>
      <w:r w:rsidR="00952D93" w:rsidRPr="00174451">
        <w:rPr>
          <w:sz w:val="22"/>
        </w:rPr>
        <w:t>omen</w:t>
      </w:r>
      <w:r w:rsidRPr="00174451">
        <w:rPr>
          <w:sz w:val="22"/>
        </w:rPr>
        <w:t xml:space="preserve"> are frequent targets of forced conversions, sexual violence and forced marriages</w:t>
      </w:r>
      <w:r w:rsidR="003F20A8" w:rsidRPr="00174451">
        <w:rPr>
          <w:sz w:val="22"/>
        </w:rPr>
        <w:t>,</w:t>
      </w:r>
      <w:r w:rsidRPr="00174451">
        <w:rPr>
          <w:sz w:val="22"/>
        </w:rPr>
        <w:t xml:space="preserve"> </w:t>
      </w:r>
      <w:r w:rsidR="008F3617" w:rsidRPr="00174451">
        <w:rPr>
          <w:sz w:val="22"/>
        </w:rPr>
        <w:t xml:space="preserve">and suffer </w:t>
      </w:r>
      <w:r w:rsidRPr="00174451">
        <w:rPr>
          <w:sz w:val="22"/>
        </w:rPr>
        <w:t>abject poverty</w:t>
      </w:r>
      <w:r w:rsidR="008F3617" w:rsidRPr="00174451">
        <w:rPr>
          <w:sz w:val="22"/>
        </w:rPr>
        <w:t xml:space="preserve"> </w:t>
      </w:r>
      <w:r w:rsidR="00D73605" w:rsidRPr="00174451">
        <w:rPr>
          <w:sz w:val="22"/>
        </w:rPr>
        <w:t>and</w:t>
      </w:r>
      <w:r w:rsidR="008F3617" w:rsidRPr="00174451">
        <w:rPr>
          <w:sz w:val="22"/>
        </w:rPr>
        <w:t xml:space="preserve"> exclusion</w:t>
      </w:r>
      <w:r w:rsidRPr="00174451">
        <w:rPr>
          <w:sz w:val="22"/>
        </w:rPr>
        <w:t xml:space="preserve">.   </w:t>
      </w:r>
    </w:p>
    <w:p w14:paraId="2CA903EA" w14:textId="1932ABB5" w:rsidR="00AA3915" w:rsidRPr="00174451" w:rsidRDefault="00AA3915" w:rsidP="00AA3915">
      <w:pPr>
        <w:rPr>
          <w:sz w:val="22"/>
        </w:rPr>
      </w:pPr>
      <w:r w:rsidRPr="00174451">
        <w:rPr>
          <w:sz w:val="22"/>
        </w:rPr>
        <w:t xml:space="preserve">Underlying these inequities, </w:t>
      </w:r>
      <w:r w:rsidR="00FA7398" w:rsidRPr="00174451">
        <w:rPr>
          <w:sz w:val="22"/>
        </w:rPr>
        <w:t xml:space="preserve">pervasive </w:t>
      </w:r>
      <w:r w:rsidRPr="00174451">
        <w:rPr>
          <w:sz w:val="22"/>
        </w:rPr>
        <w:t xml:space="preserve">patriarchy, evaporating public policies </w:t>
      </w:r>
      <w:r w:rsidR="00D73605" w:rsidRPr="00174451">
        <w:rPr>
          <w:sz w:val="22"/>
        </w:rPr>
        <w:t>and</w:t>
      </w:r>
      <w:r w:rsidRPr="00174451">
        <w:rPr>
          <w:sz w:val="22"/>
        </w:rPr>
        <w:t xml:space="preserve"> funds, identi</w:t>
      </w:r>
      <w:r w:rsidR="00FA7398" w:rsidRPr="00174451">
        <w:rPr>
          <w:sz w:val="22"/>
        </w:rPr>
        <w:t xml:space="preserve">ty </w:t>
      </w:r>
      <w:r w:rsidR="00D73605" w:rsidRPr="00174451">
        <w:rPr>
          <w:sz w:val="22"/>
        </w:rPr>
        <w:t>and</w:t>
      </w:r>
      <w:r w:rsidR="00FA7398" w:rsidRPr="00174451">
        <w:rPr>
          <w:sz w:val="22"/>
        </w:rPr>
        <w:t xml:space="preserve"> age -based exclusions</w:t>
      </w:r>
      <w:r w:rsidRPr="00174451">
        <w:rPr>
          <w:sz w:val="22"/>
        </w:rPr>
        <w:t xml:space="preserve"> </w:t>
      </w:r>
      <w:r w:rsidR="00FA7398" w:rsidRPr="00174451">
        <w:rPr>
          <w:sz w:val="22"/>
        </w:rPr>
        <w:t xml:space="preserve">in services and data gaps </w:t>
      </w:r>
      <w:r w:rsidRPr="00174451">
        <w:rPr>
          <w:sz w:val="22"/>
        </w:rPr>
        <w:t xml:space="preserve">continue to keep marginalized communities behind. Citizen-led health </w:t>
      </w:r>
      <w:r w:rsidR="00D73605" w:rsidRPr="00174451">
        <w:rPr>
          <w:sz w:val="22"/>
        </w:rPr>
        <w:t>and</w:t>
      </w:r>
      <w:r w:rsidRPr="00174451">
        <w:rPr>
          <w:sz w:val="22"/>
        </w:rPr>
        <w:t xml:space="preserve"> well-being data </w:t>
      </w:r>
      <w:r w:rsidR="00FA7398" w:rsidRPr="00174451">
        <w:rPr>
          <w:sz w:val="22"/>
        </w:rPr>
        <w:t xml:space="preserve">is </w:t>
      </w:r>
      <w:r w:rsidRPr="00174451">
        <w:rPr>
          <w:sz w:val="22"/>
        </w:rPr>
        <w:t>limited</w:t>
      </w:r>
      <w:r w:rsidR="00A50876" w:rsidRPr="00174451">
        <w:rPr>
          <w:sz w:val="22"/>
        </w:rPr>
        <w:t>,</w:t>
      </w:r>
      <w:r w:rsidRPr="00174451">
        <w:rPr>
          <w:sz w:val="22"/>
        </w:rPr>
        <w:t xml:space="preserve"> and</w:t>
      </w:r>
      <w:r w:rsidRPr="00174451">
        <w:rPr>
          <w:b/>
          <w:bCs/>
          <w:sz w:val="22"/>
        </w:rPr>
        <w:t xml:space="preserve"> official data is available for only 71 out of 232 SDG indicators</w:t>
      </w:r>
      <w:r w:rsidR="00C97D42" w:rsidRPr="00174451">
        <w:rPr>
          <w:sz w:val="22"/>
        </w:rPr>
        <w:t xml:space="preserve"> </w:t>
      </w:r>
      <w:r w:rsidR="00C97D42" w:rsidRPr="00174451">
        <w:rPr>
          <w:b/>
          <w:bCs/>
          <w:sz w:val="22"/>
        </w:rPr>
        <w:t xml:space="preserve">in </w:t>
      </w:r>
      <w:r w:rsidR="00FA7398" w:rsidRPr="00174451">
        <w:rPr>
          <w:b/>
          <w:bCs/>
          <w:sz w:val="22"/>
        </w:rPr>
        <w:t>the region</w:t>
      </w:r>
      <w:r w:rsidRPr="00174451">
        <w:rPr>
          <w:sz w:val="22"/>
        </w:rPr>
        <w:t xml:space="preserve">. </w:t>
      </w:r>
      <w:r w:rsidR="00B05B25" w:rsidRPr="00174451">
        <w:rPr>
          <w:sz w:val="22"/>
        </w:rPr>
        <w:t>In the Pacific</w:t>
      </w:r>
      <w:r w:rsidR="003F20A8" w:rsidRPr="00174451">
        <w:rPr>
          <w:sz w:val="22"/>
        </w:rPr>
        <w:t xml:space="preserve">, data is more scattered, in </w:t>
      </w:r>
      <w:r w:rsidR="00B05B25" w:rsidRPr="00174451">
        <w:rPr>
          <w:sz w:val="22"/>
        </w:rPr>
        <w:t>absence of regular</w:t>
      </w:r>
      <w:r w:rsidR="00ED6403" w:rsidRPr="00174451">
        <w:rPr>
          <w:sz w:val="22"/>
        </w:rPr>
        <w:t xml:space="preserve"> and comprehensive</w:t>
      </w:r>
      <w:r w:rsidR="00B05B25" w:rsidRPr="00174451">
        <w:rPr>
          <w:sz w:val="22"/>
        </w:rPr>
        <w:t xml:space="preserve"> demographic surveys</w:t>
      </w:r>
      <w:r w:rsidR="00FE1598">
        <w:rPr>
          <w:sz w:val="22"/>
        </w:rPr>
        <w:t xml:space="preserve">. </w:t>
      </w:r>
    </w:p>
    <w:p w14:paraId="7CA98AC8" w14:textId="77777777" w:rsidR="00AF5976" w:rsidRDefault="00AF5976" w:rsidP="006D330A">
      <w:pPr>
        <w:spacing w:after="0"/>
        <w:rPr>
          <w:b/>
          <w:bCs/>
          <w:color w:val="EF1137"/>
          <w:sz w:val="24"/>
          <w:szCs w:val="24"/>
        </w:rPr>
      </w:pPr>
    </w:p>
    <w:p w14:paraId="38DEDEE4" w14:textId="32D0C5AE" w:rsidR="001A1035" w:rsidRPr="000D4B11" w:rsidRDefault="00627F87" w:rsidP="006D330A">
      <w:pPr>
        <w:spacing w:after="0"/>
        <w:rPr>
          <w:b/>
          <w:bCs/>
          <w:color w:val="EF1137"/>
          <w:sz w:val="24"/>
          <w:szCs w:val="24"/>
        </w:rPr>
      </w:pPr>
      <w:r w:rsidRPr="000D4B11">
        <w:rPr>
          <w:b/>
          <w:bCs/>
          <w:color w:val="EF1137"/>
          <w:sz w:val="24"/>
          <w:szCs w:val="24"/>
        </w:rPr>
        <w:t>CONCLUSION</w:t>
      </w:r>
      <w:r w:rsidR="000D4B11" w:rsidRPr="000D4B11">
        <w:rPr>
          <w:b/>
          <w:bCs/>
          <w:color w:val="EF1137"/>
          <w:sz w:val="24"/>
          <w:szCs w:val="24"/>
        </w:rPr>
        <w:t xml:space="preserve">S </w:t>
      </w:r>
    </w:p>
    <w:p w14:paraId="1D99CA14" w14:textId="5E1C19C5" w:rsidR="00E94CD8" w:rsidRDefault="00315549" w:rsidP="00E94CD8">
      <w:pPr>
        <w:rPr>
          <w:sz w:val="22"/>
          <w:lang w:val="en"/>
        </w:rPr>
      </w:pPr>
      <w:r w:rsidRPr="00174451">
        <w:rPr>
          <w:sz w:val="22"/>
        </w:rPr>
        <w:t>Although some countries have moved towards UHC to improve human well-being and capabilities, none have acquired it</w:t>
      </w:r>
      <w:r w:rsidR="003A21CC" w:rsidRPr="00174451">
        <w:rPr>
          <w:sz w:val="22"/>
        </w:rPr>
        <w:t xml:space="preserve"> fully</w:t>
      </w:r>
      <w:r w:rsidRPr="00174451">
        <w:rPr>
          <w:sz w:val="22"/>
        </w:rPr>
        <w:t xml:space="preserve">. </w:t>
      </w:r>
      <w:r w:rsidR="000A6F3B" w:rsidRPr="007F5849">
        <w:rPr>
          <w:sz w:val="22"/>
          <w:lang w:val="en"/>
        </w:rPr>
        <w:t xml:space="preserve">Provide adequate financial, human and infrastructural resources towards implementing </w:t>
      </w:r>
      <w:r w:rsidR="00275973">
        <w:rPr>
          <w:sz w:val="22"/>
          <w:lang w:val="en"/>
        </w:rPr>
        <w:t xml:space="preserve">quality </w:t>
      </w:r>
      <w:r w:rsidR="000A6F3B" w:rsidRPr="007F5849">
        <w:rPr>
          <w:sz w:val="22"/>
          <w:lang w:val="en"/>
        </w:rPr>
        <w:t xml:space="preserve">health and </w:t>
      </w:r>
      <w:r w:rsidR="000A6F3B" w:rsidRPr="007F5849">
        <w:rPr>
          <w:sz w:val="22"/>
          <w:lang w:val="en"/>
        </w:rPr>
        <w:lastRenderedPageBreak/>
        <w:t>education,</w:t>
      </w:r>
      <w:r w:rsidR="001165A9">
        <w:rPr>
          <w:sz w:val="22"/>
          <w:lang w:val="en"/>
        </w:rPr>
        <w:t xml:space="preserve"> </w:t>
      </w:r>
      <w:r w:rsidR="000A6F3B" w:rsidRPr="007F5849">
        <w:rPr>
          <w:sz w:val="22"/>
          <w:lang w:val="en"/>
        </w:rPr>
        <w:t xml:space="preserve">and </w:t>
      </w:r>
      <w:r w:rsidR="00275973">
        <w:rPr>
          <w:sz w:val="22"/>
          <w:lang w:val="en"/>
        </w:rPr>
        <w:t xml:space="preserve">ensure </w:t>
      </w:r>
      <w:r w:rsidR="000A6F3B" w:rsidRPr="007F5849">
        <w:rPr>
          <w:sz w:val="22"/>
          <w:lang w:val="en"/>
        </w:rPr>
        <w:t>well-being; progressively increase investment in quality education, healthcare and social protection, and ensuring transparency and accountability.</w:t>
      </w:r>
      <w:r w:rsidR="005D57C4">
        <w:rPr>
          <w:sz w:val="22"/>
          <w:lang w:val="en"/>
        </w:rPr>
        <w:t xml:space="preserve">  </w:t>
      </w:r>
      <w:r w:rsidR="005D57C4">
        <w:rPr>
          <w:sz w:val="22"/>
          <w:lang w:val="en"/>
        </w:rPr>
        <w:t xml:space="preserve">Access </w:t>
      </w:r>
      <w:r w:rsidR="005D57C4" w:rsidRPr="007F5849">
        <w:rPr>
          <w:sz w:val="22"/>
          <w:lang w:val="en"/>
        </w:rPr>
        <w:t xml:space="preserve">to health, SRHR and education </w:t>
      </w:r>
      <w:r w:rsidR="005D57C4">
        <w:rPr>
          <w:sz w:val="22"/>
          <w:lang w:val="en"/>
        </w:rPr>
        <w:t xml:space="preserve">including CSE must be strengthened </w:t>
      </w:r>
      <w:r w:rsidR="005D57C4" w:rsidRPr="007F5849">
        <w:rPr>
          <w:sz w:val="22"/>
          <w:lang w:val="en"/>
        </w:rPr>
        <w:t xml:space="preserve">to ensure </w:t>
      </w:r>
      <w:r w:rsidR="00642554">
        <w:rPr>
          <w:sz w:val="22"/>
          <w:lang w:val="en"/>
        </w:rPr>
        <w:t xml:space="preserve">they are of </w:t>
      </w:r>
      <w:r w:rsidR="005D57C4" w:rsidRPr="007F5849">
        <w:rPr>
          <w:sz w:val="22"/>
          <w:lang w:val="en"/>
        </w:rPr>
        <w:t>the highest standard, free from discrimination and accessible and available to all including adolescents and young people irrespective of their marital status or SOGIESC</w:t>
      </w:r>
      <w:r w:rsidR="005D57C4">
        <w:rPr>
          <w:sz w:val="22"/>
          <w:lang w:val="en"/>
        </w:rPr>
        <w:t xml:space="preserve">.  </w:t>
      </w:r>
    </w:p>
    <w:p w14:paraId="163DF23F" w14:textId="021C5349" w:rsidR="006778F7" w:rsidRPr="00EF7B54" w:rsidRDefault="00E94CD8" w:rsidP="00174451">
      <w:pPr>
        <w:rPr>
          <w:rFonts w:cs="Calibri"/>
          <w:sz w:val="22"/>
          <w:lang w:val="en"/>
        </w:rPr>
      </w:pPr>
      <w:r w:rsidRPr="00E94CD8">
        <w:rPr>
          <w:sz w:val="22"/>
          <w:lang w:val="en"/>
        </w:rPr>
        <w:t>Ensure</w:t>
      </w:r>
      <w:r w:rsidR="007F5849" w:rsidRPr="007F5849">
        <w:rPr>
          <w:sz w:val="22"/>
          <w:lang w:val="en"/>
        </w:rPr>
        <w:t xml:space="preserve"> opportunities for women’s participation </w:t>
      </w:r>
      <w:r w:rsidRPr="00E94CD8">
        <w:rPr>
          <w:sz w:val="22"/>
          <w:lang w:val="en"/>
        </w:rPr>
        <w:t xml:space="preserve">in all levels of </w:t>
      </w:r>
      <w:r w:rsidR="007F5849" w:rsidRPr="007F5849">
        <w:rPr>
          <w:sz w:val="22"/>
          <w:lang w:val="en"/>
        </w:rPr>
        <w:t>decision</w:t>
      </w:r>
      <w:r w:rsidR="000A6F3B" w:rsidRPr="00E94CD8">
        <w:rPr>
          <w:sz w:val="22"/>
          <w:lang w:val="en"/>
        </w:rPr>
        <w:t>-</w:t>
      </w:r>
      <w:r w:rsidR="007F5849" w:rsidRPr="007F5849">
        <w:rPr>
          <w:sz w:val="22"/>
          <w:lang w:val="en"/>
        </w:rPr>
        <w:t xml:space="preserve">making structures to </w:t>
      </w:r>
      <w:r w:rsidRPr="007F5849">
        <w:rPr>
          <w:sz w:val="22"/>
          <w:lang w:val="en"/>
        </w:rPr>
        <w:t>realize</w:t>
      </w:r>
      <w:r w:rsidR="007F5849" w:rsidRPr="007F5849">
        <w:rPr>
          <w:sz w:val="22"/>
          <w:lang w:val="en"/>
        </w:rPr>
        <w:t xml:space="preserve"> and fulfil women’s human rights, an</w:t>
      </w:r>
      <w:r w:rsidRPr="00E94CD8">
        <w:rPr>
          <w:sz w:val="22"/>
          <w:lang w:val="en"/>
        </w:rPr>
        <w:t xml:space="preserve">d </w:t>
      </w:r>
      <w:r w:rsidR="007F5849" w:rsidRPr="007F5849">
        <w:rPr>
          <w:sz w:val="22"/>
          <w:lang w:val="en"/>
        </w:rPr>
        <w:t>gender equality</w:t>
      </w:r>
      <w:r>
        <w:rPr>
          <w:sz w:val="22"/>
          <w:lang w:val="en"/>
        </w:rPr>
        <w:t xml:space="preserve">. </w:t>
      </w:r>
      <w:r w:rsidR="00642554">
        <w:rPr>
          <w:rFonts w:cs="Calibri"/>
          <w:sz w:val="22"/>
          <w:lang w:val="en"/>
        </w:rPr>
        <w:t>D</w:t>
      </w:r>
      <w:r w:rsidR="00642554" w:rsidRPr="00A27067">
        <w:rPr>
          <w:rFonts w:cs="Calibri"/>
          <w:sz w:val="22"/>
          <w:lang w:val="en"/>
        </w:rPr>
        <w:t>iscriminatory law</w:t>
      </w:r>
      <w:r w:rsidR="00642554">
        <w:rPr>
          <w:rFonts w:cs="Calibri"/>
          <w:sz w:val="22"/>
          <w:lang w:val="en"/>
        </w:rPr>
        <w:t xml:space="preserve"> and policies</w:t>
      </w:r>
      <w:r w:rsidR="00642554">
        <w:rPr>
          <w:rFonts w:cs="Calibri"/>
          <w:sz w:val="22"/>
          <w:lang w:val="en"/>
        </w:rPr>
        <w:t xml:space="preserve"> must be reviewed and repealed</w:t>
      </w:r>
      <w:r w:rsidR="00642554">
        <w:rPr>
          <w:rFonts w:cs="Calibri"/>
          <w:sz w:val="22"/>
          <w:lang w:val="en"/>
        </w:rPr>
        <w:t xml:space="preserve">, </w:t>
      </w:r>
      <w:r w:rsidR="00642554" w:rsidRPr="00A27067">
        <w:rPr>
          <w:rFonts w:cs="Calibri"/>
          <w:sz w:val="22"/>
          <w:lang w:val="en"/>
        </w:rPr>
        <w:t xml:space="preserve">especially those that </w:t>
      </w:r>
      <w:r w:rsidR="00642554" w:rsidRPr="00C47DEB">
        <w:rPr>
          <w:rFonts w:cs="Calibri"/>
          <w:sz w:val="22"/>
          <w:lang w:val="en"/>
        </w:rPr>
        <w:t>criminalize consensual same sex,</w:t>
      </w:r>
      <w:r w:rsidR="00642554">
        <w:rPr>
          <w:rFonts w:cs="Calibri"/>
          <w:sz w:val="22"/>
          <w:lang w:val="en"/>
        </w:rPr>
        <w:t xml:space="preserve"> access to abortion services, or</w:t>
      </w:r>
      <w:r w:rsidR="00642554" w:rsidRPr="00C47DEB">
        <w:rPr>
          <w:rFonts w:cs="Calibri"/>
          <w:sz w:val="22"/>
          <w:lang w:val="en"/>
        </w:rPr>
        <w:t xml:space="preserve"> </w:t>
      </w:r>
      <w:r w:rsidR="00642554">
        <w:rPr>
          <w:rFonts w:cs="Calibri"/>
          <w:sz w:val="22"/>
          <w:lang w:val="en"/>
        </w:rPr>
        <w:t>age of</w:t>
      </w:r>
      <w:r w:rsidR="00642554" w:rsidRPr="00C47DEB">
        <w:rPr>
          <w:rFonts w:cs="Calibri"/>
          <w:sz w:val="22"/>
          <w:lang w:val="en"/>
        </w:rPr>
        <w:t xml:space="preserve"> consent laws</w:t>
      </w:r>
      <w:r w:rsidR="00642554">
        <w:rPr>
          <w:rFonts w:cs="Calibri"/>
          <w:sz w:val="22"/>
          <w:lang w:val="en"/>
        </w:rPr>
        <w:t xml:space="preserve">.   </w:t>
      </w:r>
      <w:r w:rsidR="00642554" w:rsidRPr="00A27067">
        <w:rPr>
          <w:rFonts w:cs="Calibri"/>
          <w:sz w:val="22"/>
          <w:lang w:val="en"/>
        </w:rPr>
        <w:t xml:space="preserve">Raise awareness and work closely with communities to effectively end harmful traditional practices against young people, women and girls and ensure that their health, SRHR and individual rights are protected. </w:t>
      </w:r>
    </w:p>
    <w:p w14:paraId="3902B17F" w14:textId="75961241" w:rsidR="006778F7" w:rsidRDefault="00BF0D69" w:rsidP="006778F7">
      <w:pPr>
        <w:widowControl/>
        <w:spacing w:after="0" w:line="276" w:lineRule="auto"/>
        <w:jc w:val="left"/>
        <w:rPr>
          <w:sz w:val="22"/>
        </w:rPr>
      </w:pPr>
      <w:r w:rsidRPr="00174451">
        <w:rPr>
          <w:rFonts w:cs="Calibri"/>
          <w:sz w:val="22"/>
        </w:rPr>
        <w:t xml:space="preserve">Countries must generate better data to inform policies which ensure that gender-related indicators are included country-level response systems and that robust data disaggregated by sex, age and (dis)ability are routinely collected. </w:t>
      </w:r>
      <w:r w:rsidR="00EF7B54" w:rsidRPr="006778F7">
        <w:rPr>
          <w:sz w:val="22"/>
        </w:rPr>
        <w:t>Rigorous</w:t>
      </w:r>
      <w:r w:rsidR="006778F7" w:rsidRPr="006778F7">
        <w:rPr>
          <w:sz w:val="22"/>
        </w:rPr>
        <w:t xml:space="preserve">, quality </w:t>
      </w:r>
      <w:r w:rsidR="00A27067">
        <w:rPr>
          <w:sz w:val="22"/>
        </w:rPr>
        <w:t>civil society</w:t>
      </w:r>
      <w:r w:rsidR="006778F7" w:rsidRPr="006778F7">
        <w:rPr>
          <w:sz w:val="22"/>
        </w:rPr>
        <w:t xml:space="preserve"> data collection and reporting should be </w:t>
      </w:r>
      <w:r w:rsidR="006778F7" w:rsidRPr="007B3D0B">
        <w:rPr>
          <w:sz w:val="22"/>
          <w:highlight w:val="yellow"/>
        </w:rPr>
        <w:t>encouraged, and civil society reports be made widely available in a timely manner along with government reports.</w:t>
      </w:r>
    </w:p>
    <w:p w14:paraId="11AF3E90" w14:textId="77777777" w:rsidR="00A27067" w:rsidRPr="006778F7" w:rsidRDefault="00A27067" w:rsidP="006778F7">
      <w:pPr>
        <w:widowControl/>
        <w:spacing w:after="0" w:line="276" w:lineRule="auto"/>
        <w:jc w:val="left"/>
        <w:rPr>
          <w:sz w:val="22"/>
        </w:rPr>
      </w:pPr>
    </w:p>
    <w:bookmarkEnd w:id="0"/>
    <w:p w14:paraId="018EAD40" w14:textId="609B317D" w:rsidR="00544092" w:rsidRPr="00174451" w:rsidRDefault="00544092" w:rsidP="00174451">
      <w:pPr>
        <w:rPr>
          <w:b/>
          <w:bCs/>
          <w:sz w:val="22"/>
        </w:rPr>
      </w:pPr>
      <w:r w:rsidRPr="00174451">
        <w:rPr>
          <w:sz w:val="22"/>
        </w:rPr>
        <w:t>ENDNOTES:</w:t>
      </w:r>
    </w:p>
    <w:sectPr w:rsidR="00544092" w:rsidRPr="00174451" w:rsidSect="00273247">
      <w:headerReference w:type="default" r:id="rId19"/>
      <w:footerReference w:type="default" r:id="rId20"/>
      <w:endnotePr>
        <w:numFmt w:val="decimal"/>
        <w:numRestart w:val="eachSect"/>
      </w:endnotePr>
      <w:pgSz w:w="11906" w:h="16838"/>
      <w:pgMar w:top="900" w:right="720" w:bottom="810" w:left="720" w:header="720" w:footer="102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1F8B9" w16cex:dateUtc="2020-06-27T11:56:00Z"/>
  <w16cex:commentExtensible w16cex:durableId="22A08533" w16cex:dateUtc="2020-06-26T09:31:00Z"/>
  <w16cex:commentExtensible w16cex:durableId="2295EDC1" w16cex:dateUtc="2020-06-18T08:42:00Z"/>
  <w16cex:commentExtensible w16cex:durableId="2295E987" w16cex:dateUtc="2020-06-18T08:24:00Z"/>
  <w16cex:commentExtensible w16cex:durableId="22A231D4" w16cex:dateUtc="2020-06-27T16:00:00Z"/>
  <w16cex:commentExtensible w16cex:durableId="229E3AF0" w16cex:dateUtc="2020-06-24T15:49:00Z"/>
  <w16cex:commentExtensible w16cex:durableId="22A23083" w16cex:dateUtc="2020-06-24T15: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43D61" w14:textId="77777777" w:rsidR="00926CE9" w:rsidRDefault="00926CE9" w:rsidP="006809C6">
      <w:pPr>
        <w:spacing w:after="0"/>
      </w:pPr>
      <w:r>
        <w:separator/>
      </w:r>
    </w:p>
  </w:endnote>
  <w:endnote w:type="continuationSeparator" w:id="0">
    <w:p w14:paraId="3E8917BA" w14:textId="77777777" w:rsidR="00926CE9" w:rsidRDefault="00926CE9" w:rsidP="006809C6">
      <w:pPr>
        <w:spacing w:after="0"/>
      </w:pPr>
      <w:r>
        <w:continuationSeparator/>
      </w:r>
    </w:p>
  </w:endnote>
  <w:endnote w:id="1">
    <w:p w14:paraId="626130B4" w14:textId="77777777" w:rsidR="00D73605" w:rsidRPr="009D20BB" w:rsidRDefault="00D73605" w:rsidP="008A2995">
      <w:pPr>
        <w:pStyle w:val="EndnoteText"/>
        <w:ind w:left="450" w:hanging="450"/>
        <w:rPr>
          <w:rFonts w:asciiTheme="minorHAnsi" w:hAnsiTheme="minorHAnsi" w:cstheme="minorHAnsi"/>
          <w:sz w:val="18"/>
          <w:szCs w:val="18"/>
        </w:rPr>
      </w:pPr>
      <w:r w:rsidRPr="009D20BB">
        <w:rPr>
          <w:rStyle w:val="EndnoteReference"/>
          <w:rFonts w:asciiTheme="minorHAnsi" w:hAnsiTheme="minorHAnsi" w:cstheme="minorHAnsi"/>
          <w:sz w:val="18"/>
          <w:szCs w:val="18"/>
        </w:rPr>
        <w:endnoteRef/>
      </w:r>
      <w:r w:rsidRPr="009D20BB">
        <w:rPr>
          <w:rFonts w:asciiTheme="minorHAnsi" w:hAnsiTheme="minorHAnsi" w:cstheme="minorHAnsi"/>
          <w:sz w:val="18"/>
          <w:szCs w:val="18"/>
        </w:rPr>
        <w:t xml:space="preserve"> ESCAP (2019). </w:t>
      </w:r>
      <w:hyperlink r:id="rId1" w:history="1">
        <w:r w:rsidRPr="009D20BB">
          <w:rPr>
            <w:rStyle w:val="Hyperlink"/>
            <w:rFonts w:asciiTheme="minorHAnsi" w:hAnsiTheme="minorHAnsi" w:cstheme="minorHAnsi"/>
            <w:sz w:val="18"/>
            <w:szCs w:val="18"/>
          </w:rPr>
          <w:t xml:space="preserve">Inequality of Opportunity in Asia and the Pacific </w:t>
        </w:r>
        <w:r>
          <w:rPr>
            <w:rStyle w:val="Hyperlink"/>
            <w:rFonts w:asciiTheme="minorHAnsi" w:hAnsiTheme="minorHAnsi" w:cstheme="minorHAnsi"/>
            <w:sz w:val="18"/>
            <w:szCs w:val="18"/>
          </w:rPr>
          <w:t>Women</w:t>
        </w:r>
        <w:r w:rsidRPr="009D20BB">
          <w:rPr>
            <w:rStyle w:val="Hyperlink"/>
            <w:rFonts w:asciiTheme="minorHAnsi" w:hAnsiTheme="minorHAnsi" w:cstheme="minorHAnsi"/>
            <w:sz w:val="18"/>
            <w:szCs w:val="18"/>
          </w:rPr>
          <w:t>’s Sexual and Reproductive Health</w:t>
        </w:r>
      </w:hyperlink>
      <w:r w:rsidRPr="009D20BB">
        <w:rPr>
          <w:rFonts w:asciiTheme="minorHAnsi" w:hAnsiTheme="minorHAnsi" w:cstheme="minorHAnsi"/>
          <w:sz w:val="18"/>
          <w:szCs w:val="18"/>
        </w:rPr>
        <w:t>.</w:t>
      </w:r>
    </w:p>
  </w:endnote>
  <w:endnote w:id="2">
    <w:p w14:paraId="76BFAF3B" w14:textId="77777777" w:rsidR="00D73605" w:rsidRPr="009D20BB" w:rsidRDefault="00D73605" w:rsidP="00BC4BE3">
      <w:pPr>
        <w:pStyle w:val="EndnoteText"/>
        <w:ind w:left="450" w:hanging="450"/>
        <w:rPr>
          <w:rFonts w:asciiTheme="minorHAnsi" w:hAnsiTheme="minorHAnsi" w:cstheme="minorHAnsi"/>
          <w:sz w:val="18"/>
          <w:szCs w:val="18"/>
        </w:rPr>
      </w:pPr>
      <w:r w:rsidRPr="009D20BB">
        <w:rPr>
          <w:rStyle w:val="EndnoteReference"/>
          <w:rFonts w:asciiTheme="minorHAnsi" w:hAnsiTheme="minorHAnsi" w:cstheme="minorHAnsi"/>
          <w:sz w:val="18"/>
          <w:szCs w:val="18"/>
        </w:rPr>
        <w:endnoteRef/>
      </w:r>
      <w:r w:rsidRPr="009D20BB">
        <w:rPr>
          <w:rFonts w:asciiTheme="minorHAnsi" w:hAnsiTheme="minorHAnsi" w:cstheme="minorHAnsi"/>
          <w:sz w:val="18"/>
          <w:szCs w:val="18"/>
        </w:rPr>
        <w:t xml:space="preserve"> UNFPA (2011). </w:t>
      </w:r>
      <w:hyperlink r:id="rId2" w:history="1">
        <w:r w:rsidRPr="009D20BB">
          <w:rPr>
            <w:rStyle w:val="Hyperlink"/>
            <w:rFonts w:asciiTheme="minorHAnsi" w:hAnsiTheme="minorHAnsi" w:cstheme="minorHAnsi"/>
            <w:sz w:val="18"/>
            <w:szCs w:val="18"/>
          </w:rPr>
          <w:t xml:space="preserve">Socio-cultural influences on the sexual and reproductive health of migrant </w:t>
        </w:r>
        <w:r>
          <w:rPr>
            <w:rStyle w:val="Hyperlink"/>
            <w:rFonts w:asciiTheme="minorHAnsi" w:hAnsiTheme="minorHAnsi" w:cstheme="minorHAnsi"/>
            <w:sz w:val="18"/>
            <w:szCs w:val="18"/>
          </w:rPr>
          <w:t>women</w:t>
        </w:r>
        <w:r w:rsidRPr="009D20BB">
          <w:rPr>
            <w:rStyle w:val="Hyperlink"/>
            <w:rFonts w:asciiTheme="minorHAnsi" w:hAnsiTheme="minorHAnsi" w:cstheme="minorHAnsi"/>
            <w:sz w:val="18"/>
            <w:szCs w:val="18"/>
          </w:rPr>
          <w:t xml:space="preserve"> – A review of literature in Vietnam.</w:t>
        </w:r>
      </w:hyperlink>
    </w:p>
  </w:endnote>
  <w:endnote w:id="3">
    <w:p w14:paraId="185C48E3" w14:textId="77777777" w:rsidR="00D73605" w:rsidRDefault="00D73605" w:rsidP="00C86538">
      <w:pPr>
        <w:pStyle w:val="EndnoteText"/>
      </w:pPr>
      <w:r w:rsidRPr="00146642">
        <w:rPr>
          <w:rStyle w:val="EndnoteReference"/>
          <w:sz w:val="18"/>
          <w:szCs w:val="18"/>
        </w:rPr>
        <w:endnoteRef/>
      </w:r>
      <w:r w:rsidRPr="00146642">
        <w:rPr>
          <w:sz w:val="18"/>
          <w:szCs w:val="18"/>
        </w:rPr>
        <w:t xml:space="preserve"> Para 68.</w:t>
      </w:r>
    </w:p>
  </w:endnote>
  <w:endnote w:id="4">
    <w:p w14:paraId="6E719E20" w14:textId="77777777" w:rsidR="00D73605" w:rsidRPr="00B95462" w:rsidRDefault="00D73605" w:rsidP="00C86538">
      <w:pPr>
        <w:pStyle w:val="EndnoteText"/>
        <w:rPr>
          <w:sz w:val="18"/>
          <w:szCs w:val="18"/>
        </w:rPr>
      </w:pPr>
      <w:r w:rsidRPr="00B95462">
        <w:rPr>
          <w:rStyle w:val="EndnoteReference"/>
          <w:sz w:val="18"/>
          <w:szCs w:val="18"/>
        </w:rPr>
        <w:endnoteRef/>
      </w:r>
      <w:r w:rsidRPr="00B95462">
        <w:rPr>
          <w:sz w:val="18"/>
          <w:szCs w:val="18"/>
        </w:rPr>
        <w:t xml:space="preserve"> Paras. 68 and 69 of the </w:t>
      </w:r>
      <w:hyperlink r:id="rId3" w:history="1">
        <w:r w:rsidRPr="00B95462">
          <w:rPr>
            <w:rStyle w:val="Hyperlink"/>
            <w:sz w:val="18"/>
            <w:szCs w:val="18"/>
          </w:rPr>
          <w:t>Political Declaration of the High-level Meeting on Universal Health Coverage</w:t>
        </w:r>
      </w:hyperlink>
      <w:r w:rsidRPr="00B95462">
        <w:rPr>
          <w:sz w:val="18"/>
          <w:szCs w:val="18"/>
        </w:rPr>
        <w:t>, adopted by UN member states on 23 September 2019. A/RES/74/2.</w:t>
      </w:r>
    </w:p>
  </w:endnote>
  <w:endnote w:id="5">
    <w:p w14:paraId="40A00C42" w14:textId="6CB54B30" w:rsidR="00D73605" w:rsidRDefault="00D73605">
      <w:pPr>
        <w:pStyle w:val="EndnoteText"/>
      </w:pPr>
      <w:r>
        <w:rPr>
          <w:rStyle w:val="EndnoteReference"/>
        </w:rPr>
        <w:endnoteRef/>
      </w:r>
      <w:r>
        <w:t xml:space="preserve"> </w:t>
      </w:r>
      <w:hyperlink r:id="rId4" w:history="1">
        <w:r w:rsidRPr="00DE3798">
          <w:rPr>
            <w:rStyle w:val="Hyperlink"/>
          </w:rPr>
          <w:t>ESCAP/RFSD/2020/1</w:t>
        </w:r>
      </w:hyperlink>
    </w:p>
  </w:endnote>
  <w:endnote w:id="6">
    <w:p w14:paraId="6E9B618F" w14:textId="77777777" w:rsidR="00C52CDD" w:rsidRPr="009D20BB" w:rsidRDefault="00C52CDD" w:rsidP="00C52CDD">
      <w:pPr>
        <w:pStyle w:val="EndnoteText"/>
        <w:ind w:left="450" w:hanging="450"/>
        <w:rPr>
          <w:rFonts w:asciiTheme="minorHAnsi" w:hAnsiTheme="minorHAnsi" w:cstheme="minorHAnsi"/>
          <w:sz w:val="18"/>
          <w:szCs w:val="18"/>
        </w:rPr>
      </w:pPr>
      <w:r w:rsidRPr="009D20BB">
        <w:rPr>
          <w:rStyle w:val="EndnoteReference"/>
          <w:rFonts w:asciiTheme="minorHAnsi" w:hAnsiTheme="minorHAnsi" w:cstheme="minorHAnsi"/>
          <w:sz w:val="18"/>
          <w:szCs w:val="18"/>
        </w:rPr>
        <w:endnoteRef/>
      </w:r>
      <w:r w:rsidRPr="009D20BB">
        <w:rPr>
          <w:rFonts w:asciiTheme="minorHAnsi" w:hAnsiTheme="minorHAnsi" w:cstheme="minorHAnsi"/>
          <w:sz w:val="18"/>
          <w:szCs w:val="18"/>
        </w:rPr>
        <w:t xml:space="preserve"> OECD/WHO (2018), </w:t>
      </w:r>
      <w:hyperlink r:id="rId5" w:history="1">
        <w:r w:rsidRPr="009D20BB">
          <w:rPr>
            <w:rStyle w:val="Hyperlink"/>
            <w:rFonts w:asciiTheme="minorHAnsi" w:hAnsiTheme="minorHAnsi" w:cstheme="minorHAnsi"/>
            <w:sz w:val="18"/>
            <w:szCs w:val="18"/>
          </w:rPr>
          <w:t>Health at a Glance: Asia/Pacific 2018: Measuring Progress towards Universal Health Coverage</w:t>
        </w:r>
      </w:hyperlink>
      <w:r w:rsidRPr="009D20BB">
        <w:rPr>
          <w:rFonts w:asciiTheme="minorHAnsi" w:hAnsiTheme="minorHAnsi" w:cstheme="minorHAnsi"/>
          <w:sz w:val="18"/>
          <w:szCs w:val="18"/>
        </w:rPr>
        <w:t xml:space="preserve">. </w:t>
      </w:r>
    </w:p>
  </w:endnote>
  <w:endnote w:id="7">
    <w:p w14:paraId="3104F61F" w14:textId="77777777" w:rsidR="003604E1" w:rsidRPr="009D20BB" w:rsidRDefault="003604E1" w:rsidP="003604E1">
      <w:pPr>
        <w:pStyle w:val="EndnoteText"/>
        <w:ind w:left="450" w:hanging="450"/>
        <w:rPr>
          <w:rFonts w:asciiTheme="minorHAnsi" w:hAnsiTheme="minorHAnsi" w:cstheme="minorHAnsi"/>
          <w:sz w:val="18"/>
          <w:szCs w:val="18"/>
        </w:rPr>
      </w:pPr>
      <w:r w:rsidRPr="009D20BB">
        <w:rPr>
          <w:rStyle w:val="EndnoteReference"/>
          <w:rFonts w:asciiTheme="minorHAnsi" w:hAnsiTheme="minorHAnsi" w:cstheme="minorHAnsi"/>
          <w:sz w:val="18"/>
          <w:szCs w:val="18"/>
        </w:rPr>
        <w:endnoteRef/>
      </w:r>
      <w:r w:rsidRPr="009D20BB">
        <w:rPr>
          <w:rFonts w:asciiTheme="minorHAnsi" w:hAnsiTheme="minorHAnsi" w:cstheme="minorHAnsi"/>
          <w:sz w:val="18"/>
          <w:szCs w:val="18"/>
        </w:rPr>
        <w:t xml:space="preserve"> ESCAP (2020). </w:t>
      </w:r>
      <w:hyperlink r:id="rId6" w:history="1">
        <w:r w:rsidRPr="009D20BB">
          <w:rPr>
            <w:rStyle w:val="Hyperlink"/>
            <w:rFonts w:asciiTheme="minorHAnsi" w:hAnsiTheme="minorHAnsi" w:cstheme="minorHAnsi"/>
            <w:sz w:val="18"/>
            <w:szCs w:val="18"/>
          </w:rPr>
          <w:t>COVID Report</w:t>
        </w:r>
      </w:hyperlink>
      <w:r w:rsidRPr="009D20BB">
        <w:rPr>
          <w:rFonts w:asciiTheme="minorHAnsi" w:hAnsiTheme="minorHAnsi" w:cstheme="minorHAnsi"/>
          <w:sz w:val="18"/>
          <w:szCs w:val="18"/>
        </w:rPr>
        <w:t xml:space="preserve">. </w:t>
      </w:r>
    </w:p>
  </w:endnote>
  <w:endnote w:id="8">
    <w:p w14:paraId="629ECDF4" w14:textId="25624748" w:rsidR="00D73605" w:rsidRPr="00937470" w:rsidRDefault="00D73605">
      <w:pPr>
        <w:pStyle w:val="EndnoteText"/>
        <w:rPr>
          <w:sz w:val="18"/>
          <w:szCs w:val="18"/>
        </w:rPr>
      </w:pPr>
      <w:r w:rsidRPr="00937470">
        <w:rPr>
          <w:rStyle w:val="EndnoteReference"/>
          <w:sz w:val="18"/>
          <w:szCs w:val="18"/>
        </w:rPr>
        <w:endnoteRef/>
      </w:r>
      <w:r w:rsidRPr="00937470">
        <w:rPr>
          <w:sz w:val="18"/>
          <w:szCs w:val="18"/>
        </w:rPr>
        <w:t xml:space="preserve"> Galen Centre. (2019). </w:t>
      </w:r>
      <w:hyperlink r:id="rId7" w:history="1">
        <w:r w:rsidRPr="00937470">
          <w:rPr>
            <w:rStyle w:val="Hyperlink"/>
            <w:sz w:val="18"/>
            <w:szCs w:val="18"/>
          </w:rPr>
          <w:t>What It Means to Suffer in Silence Challenges to Mental Health Access Among LGBT People</w:t>
        </w:r>
      </w:hyperlink>
      <w:r w:rsidRPr="00937470">
        <w:rPr>
          <w:sz w:val="18"/>
          <w:szCs w:val="18"/>
        </w:rPr>
        <w:t>.</w:t>
      </w:r>
    </w:p>
  </w:endnote>
  <w:endnote w:id="9">
    <w:p w14:paraId="23820C37" w14:textId="77777777" w:rsidR="00C52CDD" w:rsidRPr="00100E1A" w:rsidRDefault="00C52CDD" w:rsidP="00C52CDD">
      <w:pPr>
        <w:pStyle w:val="EndnoteText"/>
      </w:pPr>
      <w:r w:rsidRPr="00100E1A">
        <w:rPr>
          <w:rStyle w:val="EndnoteReference"/>
          <w:sz w:val="18"/>
          <w:szCs w:val="18"/>
        </w:rPr>
        <w:endnoteRef/>
      </w:r>
      <w:r w:rsidRPr="00100E1A">
        <w:rPr>
          <w:sz w:val="18"/>
          <w:szCs w:val="18"/>
        </w:rPr>
        <w:t xml:space="preserve"> International Lesbian, Gay, Bisexual, Trans and Intersex Association: Lucas Ramon Mendos, </w:t>
      </w:r>
      <w:hyperlink r:id="rId8" w:history="1">
        <w:r w:rsidRPr="00100E1A">
          <w:rPr>
            <w:rStyle w:val="Hyperlink"/>
            <w:sz w:val="18"/>
            <w:szCs w:val="18"/>
          </w:rPr>
          <w:t>State-Sponsored Homophobia 2019</w:t>
        </w:r>
      </w:hyperlink>
      <w:r w:rsidRPr="00100E1A">
        <w:rPr>
          <w:sz w:val="18"/>
          <w:szCs w:val="18"/>
        </w:rPr>
        <w:t xml:space="preserve"> (Geneva; ILGA, March 2019</w:t>
      </w:r>
      <w:r>
        <w:rPr>
          <w:sz w:val="18"/>
          <w:szCs w:val="18"/>
        </w:rPr>
        <w:t>.</w:t>
      </w:r>
    </w:p>
  </w:endnote>
  <w:endnote w:id="10">
    <w:p w14:paraId="18542113" w14:textId="77777777" w:rsidR="00B51CD4" w:rsidRPr="00100E1A" w:rsidRDefault="00B51CD4" w:rsidP="00B51CD4">
      <w:pPr>
        <w:pStyle w:val="EndnoteText"/>
        <w:rPr>
          <w:sz w:val="18"/>
          <w:szCs w:val="18"/>
        </w:rPr>
      </w:pPr>
      <w:r w:rsidRPr="00100E1A">
        <w:rPr>
          <w:rStyle w:val="EndnoteReference"/>
          <w:sz w:val="18"/>
          <w:szCs w:val="18"/>
        </w:rPr>
        <w:endnoteRef/>
      </w:r>
      <w:r w:rsidRPr="00100E1A">
        <w:rPr>
          <w:sz w:val="18"/>
          <w:szCs w:val="18"/>
        </w:rPr>
        <w:t xml:space="preserve"> UNDP, MSDHS (May 2018). </w:t>
      </w:r>
      <w:hyperlink r:id="rId9" w:history="1">
        <w:r w:rsidRPr="00100E1A">
          <w:rPr>
            <w:rStyle w:val="Hyperlink"/>
            <w:sz w:val="18"/>
            <w:szCs w:val="18"/>
          </w:rPr>
          <w:t>Legal Gender Recognition in Thailand: A Legal and Policy Review</w:t>
        </w:r>
      </w:hyperlink>
      <w:r w:rsidRPr="00100E1A">
        <w:rPr>
          <w:sz w:val="18"/>
          <w:szCs w:val="18"/>
        </w:rPr>
        <w:t xml:space="preserve">. </w:t>
      </w:r>
    </w:p>
  </w:endnote>
  <w:endnote w:id="11">
    <w:p w14:paraId="5FEFB758" w14:textId="77777777" w:rsidR="00D73605" w:rsidRPr="009D20BB" w:rsidRDefault="00D73605" w:rsidP="00585CD7">
      <w:pPr>
        <w:pStyle w:val="EndnoteText"/>
        <w:ind w:left="450" w:hanging="450"/>
        <w:rPr>
          <w:rFonts w:asciiTheme="minorHAnsi" w:hAnsiTheme="minorHAnsi" w:cstheme="minorHAnsi"/>
          <w:sz w:val="18"/>
          <w:szCs w:val="18"/>
        </w:rPr>
      </w:pPr>
      <w:r w:rsidRPr="009D20BB">
        <w:rPr>
          <w:rStyle w:val="EndnoteReference"/>
          <w:rFonts w:asciiTheme="minorHAnsi" w:hAnsiTheme="minorHAnsi" w:cstheme="minorHAnsi"/>
          <w:sz w:val="18"/>
          <w:szCs w:val="18"/>
        </w:rPr>
        <w:endnoteRef/>
      </w:r>
      <w:r w:rsidRPr="009D20BB">
        <w:rPr>
          <w:rFonts w:asciiTheme="minorHAnsi" w:hAnsiTheme="minorHAnsi" w:cstheme="minorHAnsi"/>
          <w:sz w:val="18"/>
          <w:szCs w:val="18"/>
        </w:rPr>
        <w:t xml:space="preserve"> ESCAP (2020). </w:t>
      </w:r>
      <w:hyperlink r:id="rId10" w:history="1">
        <w:r w:rsidRPr="009D20BB">
          <w:rPr>
            <w:rStyle w:val="Hyperlink"/>
            <w:rFonts w:asciiTheme="minorHAnsi" w:hAnsiTheme="minorHAnsi" w:cstheme="minorHAnsi"/>
            <w:sz w:val="18"/>
            <w:szCs w:val="18"/>
          </w:rPr>
          <w:t>COVID Report</w:t>
        </w:r>
      </w:hyperlink>
      <w:r w:rsidRPr="009D20BB">
        <w:rPr>
          <w:rFonts w:asciiTheme="minorHAnsi" w:hAnsiTheme="minorHAnsi" w:cstheme="minorHAnsi"/>
          <w:sz w:val="18"/>
          <w:szCs w:val="18"/>
        </w:rPr>
        <w:t xml:space="preserve">. </w:t>
      </w:r>
    </w:p>
  </w:endnote>
  <w:endnote w:id="12">
    <w:p w14:paraId="4A61AF62" w14:textId="77777777" w:rsidR="00D73605" w:rsidRPr="009D20BB" w:rsidRDefault="00D73605" w:rsidP="00585CD7">
      <w:pPr>
        <w:pStyle w:val="EndnoteText"/>
        <w:ind w:left="450" w:hanging="450"/>
        <w:rPr>
          <w:rFonts w:asciiTheme="minorHAnsi" w:hAnsiTheme="minorHAnsi" w:cstheme="minorHAnsi"/>
          <w:sz w:val="18"/>
          <w:szCs w:val="18"/>
        </w:rPr>
      </w:pPr>
      <w:r w:rsidRPr="009D20BB">
        <w:rPr>
          <w:rStyle w:val="EndnoteReference"/>
          <w:rFonts w:asciiTheme="minorHAnsi" w:hAnsiTheme="minorHAnsi" w:cstheme="minorHAnsi"/>
          <w:sz w:val="18"/>
          <w:szCs w:val="18"/>
        </w:rPr>
        <w:endnoteRef/>
      </w:r>
      <w:r w:rsidRPr="009D20BB">
        <w:rPr>
          <w:rFonts w:asciiTheme="minorHAnsi" w:hAnsiTheme="minorHAnsi" w:cstheme="minorHAnsi"/>
          <w:sz w:val="18"/>
          <w:szCs w:val="18"/>
        </w:rPr>
        <w:t xml:space="preserve"> </w:t>
      </w:r>
      <w:r>
        <w:rPr>
          <w:rFonts w:asciiTheme="minorHAnsi" w:hAnsiTheme="minorHAnsi" w:cstheme="minorHAnsi"/>
          <w:sz w:val="18"/>
          <w:szCs w:val="18"/>
        </w:rPr>
        <w:t>Ibid.</w:t>
      </w:r>
      <w:r w:rsidRPr="009D20BB">
        <w:rPr>
          <w:rFonts w:asciiTheme="minorHAnsi" w:hAnsiTheme="minorHAnsi" w:cstheme="minorHAnsi"/>
          <w:sz w:val="18"/>
          <w:szCs w:val="18"/>
        </w:rPr>
        <w:t xml:space="preserve"> </w:t>
      </w:r>
    </w:p>
  </w:endnote>
  <w:endnote w:id="13">
    <w:p w14:paraId="44B84B6E" w14:textId="77777777" w:rsidR="005E395B" w:rsidRPr="005E7C94" w:rsidRDefault="005E395B" w:rsidP="005E395B">
      <w:pPr>
        <w:pStyle w:val="EndnoteText"/>
        <w:rPr>
          <w:rStyle w:val="Hyperlink"/>
          <w:sz w:val="18"/>
          <w:szCs w:val="18"/>
        </w:rPr>
      </w:pPr>
      <w:r w:rsidRPr="00996542">
        <w:rPr>
          <w:rStyle w:val="EndnoteReference"/>
          <w:sz w:val="18"/>
          <w:szCs w:val="18"/>
        </w:rPr>
        <w:endnoteRef/>
      </w:r>
      <w:r w:rsidRPr="00996542">
        <w:rPr>
          <w:sz w:val="18"/>
          <w:szCs w:val="18"/>
        </w:rPr>
        <w:t xml:space="preserve"> </w:t>
      </w:r>
      <w:r w:rsidRPr="005E7C94">
        <w:rPr>
          <w:sz w:val="18"/>
          <w:szCs w:val="18"/>
        </w:rPr>
        <w:t xml:space="preserve">Family Planning NSW. </w:t>
      </w:r>
      <w:r>
        <w:rPr>
          <w:sz w:val="18"/>
          <w:szCs w:val="18"/>
        </w:rPr>
        <w:fldChar w:fldCharType="begin"/>
      </w:r>
      <w:r>
        <w:rPr>
          <w:sz w:val="18"/>
          <w:szCs w:val="18"/>
        </w:rPr>
        <w:instrText xml:space="preserve"> HYPERLINK "https://www.fpnsw.org.au/sites/default/files/assets/SDGreport_2020.pdf" </w:instrText>
      </w:r>
      <w:r>
        <w:rPr>
          <w:sz w:val="18"/>
          <w:szCs w:val="18"/>
        </w:rPr>
        <w:fldChar w:fldCharType="separate"/>
      </w:r>
      <w:r w:rsidRPr="005E7C94">
        <w:rPr>
          <w:rStyle w:val="Hyperlink"/>
          <w:sz w:val="18"/>
          <w:szCs w:val="18"/>
        </w:rPr>
        <w:t>Sexual and Reproductive Health and Rights and the Sustainable Development Goals: Priorities for Australia and the</w:t>
      </w:r>
    </w:p>
    <w:p w14:paraId="6D329E63" w14:textId="77777777" w:rsidR="005E395B" w:rsidRPr="00996542" w:rsidRDefault="005E395B" w:rsidP="005E395B">
      <w:pPr>
        <w:pStyle w:val="EndnoteText"/>
        <w:rPr>
          <w:sz w:val="18"/>
          <w:szCs w:val="18"/>
        </w:rPr>
      </w:pPr>
      <w:r w:rsidRPr="005E7C94">
        <w:rPr>
          <w:rStyle w:val="Hyperlink"/>
          <w:sz w:val="18"/>
          <w:szCs w:val="18"/>
        </w:rPr>
        <w:t>Pacific</w:t>
      </w:r>
      <w:r>
        <w:rPr>
          <w:sz w:val="18"/>
          <w:szCs w:val="18"/>
        </w:rPr>
        <w:fldChar w:fldCharType="end"/>
      </w:r>
      <w:r w:rsidRPr="005E7C94">
        <w:rPr>
          <w:sz w:val="18"/>
          <w:szCs w:val="18"/>
        </w:rPr>
        <w:t xml:space="preserve"> 2020. Ashfield, Sydney: FPNSW; 2020 </w:t>
      </w:r>
    </w:p>
  </w:endnote>
  <w:endnote w:id="14">
    <w:p w14:paraId="2092268F" w14:textId="77777777" w:rsidR="00D73605" w:rsidRPr="009D20BB" w:rsidRDefault="00D73605" w:rsidP="00585CD7">
      <w:pPr>
        <w:pStyle w:val="EndnoteText"/>
        <w:ind w:left="450" w:hanging="450"/>
        <w:rPr>
          <w:rFonts w:asciiTheme="minorHAnsi" w:hAnsiTheme="minorHAnsi" w:cstheme="minorHAnsi"/>
          <w:sz w:val="18"/>
          <w:szCs w:val="18"/>
        </w:rPr>
      </w:pPr>
      <w:r w:rsidRPr="009D20BB">
        <w:rPr>
          <w:rStyle w:val="EndnoteReference"/>
          <w:rFonts w:asciiTheme="minorHAnsi" w:hAnsiTheme="minorHAnsi" w:cstheme="minorHAnsi"/>
          <w:sz w:val="18"/>
          <w:szCs w:val="18"/>
        </w:rPr>
        <w:endnoteRef/>
      </w:r>
      <w:r w:rsidRPr="009D20BB">
        <w:rPr>
          <w:rFonts w:asciiTheme="minorHAnsi" w:hAnsiTheme="minorHAnsi" w:cstheme="minorHAnsi"/>
          <w:sz w:val="18"/>
          <w:szCs w:val="18"/>
        </w:rPr>
        <w:t xml:space="preserve"> OECD/WHO (2018), </w:t>
      </w:r>
      <w:hyperlink r:id="rId11" w:history="1">
        <w:r w:rsidRPr="009D20BB">
          <w:rPr>
            <w:rStyle w:val="Hyperlink"/>
            <w:rFonts w:asciiTheme="minorHAnsi" w:hAnsiTheme="minorHAnsi" w:cstheme="minorHAnsi"/>
            <w:sz w:val="18"/>
            <w:szCs w:val="18"/>
          </w:rPr>
          <w:t>Health at a Glance: Asia-Pacific 2018- Measuring Progress towards Universal Health Coverage</w:t>
        </w:r>
      </w:hyperlink>
      <w:r w:rsidRPr="009D20BB">
        <w:rPr>
          <w:rFonts w:asciiTheme="minorHAnsi" w:hAnsiTheme="minorHAnsi" w:cstheme="minorHAnsi"/>
          <w:sz w:val="18"/>
          <w:szCs w:val="18"/>
        </w:rPr>
        <w:t xml:space="preserve">.  </w:t>
      </w:r>
    </w:p>
  </w:endnote>
  <w:endnote w:id="15">
    <w:p w14:paraId="21DDFB44" w14:textId="77777777" w:rsidR="00D73605" w:rsidRPr="009D20BB" w:rsidRDefault="00D73605" w:rsidP="00585CD7">
      <w:pPr>
        <w:pStyle w:val="EndnoteText"/>
        <w:ind w:left="450" w:hanging="450"/>
        <w:rPr>
          <w:rFonts w:asciiTheme="minorHAnsi" w:hAnsiTheme="minorHAnsi" w:cstheme="minorHAnsi"/>
          <w:sz w:val="18"/>
          <w:szCs w:val="18"/>
        </w:rPr>
      </w:pPr>
      <w:r w:rsidRPr="009D20BB">
        <w:rPr>
          <w:rStyle w:val="EndnoteReference"/>
          <w:rFonts w:asciiTheme="minorHAnsi" w:hAnsiTheme="minorHAnsi" w:cstheme="minorHAnsi"/>
          <w:sz w:val="18"/>
          <w:szCs w:val="18"/>
        </w:rPr>
        <w:endnoteRef/>
      </w:r>
      <w:r w:rsidRPr="009D20BB">
        <w:rPr>
          <w:rFonts w:asciiTheme="minorHAnsi" w:hAnsiTheme="minorHAnsi" w:cstheme="minorHAnsi"/>
          <w:sz w:val="18"/>
          <w:szCs w:val="18"/>
        </w:rPr>
        <w:t xml:space="preserve"> ESCAP, 2017. </w:t>
      </w:r>
      <w:hyperlink r:id="rId12" w:history="1">
        <w:r w:rsidRPr="009D20BB">
          <w:rPr>
            <w:rStyle w:val="Hyperlink"/>
            <w:rFonts w:asciiTheme="minorHAnsi" w:hAnsiTheme="minorHAnsi" w:cstheme="minorHAnsi"/>
            <w:sz w:val="18"/>
            <w:szCs w:val="18"/>
          </w:rPr>
          <w:t>Sustainable Social Development in Asia and the Pacific: Towards a people-centered transformation</w:t>
        </w:r>
      </w:hyperlink>
      <w:r w:rsidRPr="009D20BB">
        <w:rPr>
          <w:rFonts w:asciiTheme="minorHAnsi" w:hAnsiTheme="minorHAnsi" w:cstheme="minorHAnsi"/>
          <w:sz w:val="18"/>
          <w:szCs w:val="18"/>
        </w:rPr>
        <w:t>.</w:t>
      </w:r>
    </w:p>
  </w:endnote>
  <w:endnote w:id="16">
    <w:p w14:paraId="19A15D2F" w14:textId="77777777" w:rsidR="00D73605" w:rsidRPr="009D20BB" w:rsidRDefault="00D73605" w:rsidP="00585CD7">
      <w:pPr>
        <w:pStyle w:val="EndnoteText"/>
        <w:ind w:left="450" w:hanging="450"/>
        <w:rPr>
          <w:rFonts w:asciiTheme="minorHAnsi" w:hAnsiTheme="minorHAnsi" w:cstheme="minorHAnsi"/>
          <w:sz w:val="18"/>
          <w:szCs w:val="18"/>
        </w:rPr>
      </w:pPr>
      <w:r w:rsidRPr="009D20BB">
        <w:rPr>
          <w:rStyle w:val="EndnoteReference"/>
          <w:rFonts w:asciiTheme="minorHAnsi" w:hAnsiTheme="minorHAnsi" w:cstheme="minorHAnsi"/>
          <w:sz w:val="18"/>
          <w:szCs w:val="18"/>
        </w:rPr>
        <w:endnoteRef/>
      </w:r>
      <w:r w:rsidRPr="009D20BB">
        <w:rPr>
          <w:rFonts w:asciiTheme="minorHAnsi" w:hAnsiTheme="minorHAnsi" w:cstheme="minorHAnsi"/>
          <w:sz w:val="18"/>
          <w:szCs w:val="18"/>
        </w:rPr>
        <w:t xml:space="preserve"> Guttmacher Institute (2018). </w:t>
      </w:r>
      <w:hyperlink r:id="rId13" w:history="1">
        <w:r w:rsidRPr="00AC7E7E">
          <w:rPr>
            <w:rStyle w:val="Hyperlink"/>
            <w:rFonts w:asciiTheme="minorHAnsi" w:hAnsiTheme="minorHAnsi" w:cstheme="minorHAnsi"/>
            <w:sz w:val="18"/>
            <w:szCs w:val="18"/>
          </w:rPr>
          <w:t>Abortion in Asia: Fact sheet</w:t>
        </w:r>
      </w:hyperlink>
      <w:r w:rsidRPr="009D20BB">
        <w:rPr>
          <w:rFonts w:asciiTheme="minorHAnsi" w:hAnsiTheme="minorHAnsi" w:cstheme="minorHAnsi"/>
          <w:sz w:val="18"/>
          <w:szCs w:val="18"/>
        </w:rPr>
        <w:t>.</w:t>
      </w:r>
    </w:p>
  </w:endnote>
  <w:endnote w:id="17">
    <w:p w14:paraId="172854DF" w14:textId="77777777" w:rsidR="00D73605" w:rsidRPr="009D2851" w:rsidRDefault="00D73605" w:rsidP="002618C3">
      <w:pPr>
        <w:pStyle w:val="EndnoteText"/>
        <w:rPr>
          <w:sz w:val="18"/>
          <w:szCs w:val="18"/>
        </w:rPr>
      </w:pPr>
      <w:r w:rsidRPr="009D2851">
        <w:rPr>
          <w:rStyle w:val="EndnoteReference"/>
          <w:sz w:val="18"/>
          <w:szCs w:val="18"/>
        </w:rPr>
        <w:endnoteRef/>
      </w:r>
      <w:r w:rsidRPr="009D2851">
        <w:rPr>
          <w:sz w:val="18"/>
          <w:szCs w:val="18"/>
        </w:rPr>
        <w:t xml:space="preserve"> UNFPA/UNESCO/WHO (2015). </w:t>
      </w:r>
      <w:hyperlink r:id="rId14" w:history="1">
        <w:r w:rsidRPr="009D2851">
          <w:rPr>
            <w:rStyle w:val="Hyperlink"/>
            <w:sz w:val="18"/>
            <w:szCs w:val="18"/>
          </w:rPr>
          <w:t>Sexual and reproductive health of young people in Asia and the Pacific: A Review of Issues, Policies and Programs</w:t>
        </w:r>
      </w:hyperlink>
      <w:r>
        <w:t xml:space="preserve">. </w:t>
      </w:r>
    </w:p>
  </w:endnote>
  <w:endnote w:id="18">
    <w:p w14:paraId="07FBDE07" w14:textId="3B079F59" w:rsidR="00D73605" w:rsidRPr="001E21C0" w:rsidRDefault="00D73605" w:rsidP="008F7E10">
      <w:pPr>
        <w:pStyle w:val="EndnoteText"/>
        <w:rPr>
          <w:sz w:val="18"/>
          <w:szCs w:val="18"/>
        </w:rPr>
      </w:pPr>
      <w:r w:rsidRPr="009D2851">
        <w:rPr>
          <w:rStyle w:val="EndnoteReference"/>
          <w:sz w:val="18"/>
          <w:szCs w:val="18"/>
        </w:rPr>
        <w:endnoteRef/>
      </w:r>
      <w:r w:rsidRPr="009D2851">
        <w:rPr>
          <w:sz w:val="18"/>
          <w:szCs w:val="18"/>
        </w:rPr>
        <w:t xml:space="preserve"> </w:t>
      </w:r>
      <w:r w:rsidRPr="001E21C0">
        <w:rPr>
          <w:sz w:val="18"/>
          <w:szCs w:val="18"/>
        </w:rPr>
        <w:t xml:space="preserve">Matthew C. Freeman, Leslie E. Greene, Robert Dreibelbis, Shadi Saboori, Richard Muga, Babette Brumback, and Richard Rheingans. "Assessing the Impact of a School-based Water Treatment, Hygiene and Sanitation Programme on Pupil Absence in Nyanza Province, Kenya: A Cluster-randomized Trial." Tropical Medicine </w:t>
      </w:r>
      <w:r>
        <w:rPr>
          <w:sz w:val="18"/>
          <w:szCs w:val="18"/>
        </w:rPr>
        <w:t>and</w:t>
      </w:r>
      <w:r w:rsidRPr="001E21C0">
        <w:rPr>
          <w:sz w:val="18"/>
          <w:szCs w:val="18"/>
        </w:rPr>
        <w:t xml:space="preserve"> International Health, 2011. doi:10.1111/j.13653156.2011.02927</w:t>
      </w:r>
      <w:r>
        <w:rPr>
          <w:sz w:val="18"/>
          <w:szCs w:val="18"/>
        </w:rPr>
        <w:t>.</w:t>
      </w:r>
    </w:p>
  </w:endnote>
  <w:endnote w:id="19">
    <w:p w14:paraId="56FCF93D" w14:textId="180E75FB" w:rsidR="004F070E" w:rsidRDefault="004F070E">
      <w:pPr>
        <w:pStyle w:val="EndnoteText"/>
      </w:pPr>
      <w:r>
        <w:rPr>
          <w:rStyle w:val="EndnoteReference"/>
        </w:rPr>
        <w:endnoteRef/>
      </w:r>
      <w:r>
        <w:t xml:space="preserve"> </w:t>
      </w:r>
      <w:r w:rsidR="005C4276">
        <w:t xml:space="preserve">United Nations (2019) </w:t>
      </w:r>
      <w:hyperlink r:id="rId15" w:history="1">
        <w:r w:rsidRPr="00DC0F10">
          <w:rPr>
            <w:rStyle w:val="Hyperlink"/>
          </w:rPr>
          <w:t>Global Sustainable Development Report</w:t>
        </w:r>
      </w:hyperlink>
      <w:r w:rsidR="00DC0F10">
        <w:t xml:space="preserve">. </w:t>
      </w:r>
      <w:r>
        <w:t xml:space="preserve"> </w:t>
      </w:r>
    </w:p>
  </w:endnote>
  <w:endnote w:id="20">
    <w:p w14:paraId="2F805445" w14:textId="425B87B6" w:rsidR="00D73605" w:rsidRDefault="00D73605" w:rsidP="00BA430B">
      <w:pPr>
        <w:pStyle w:val="EndnoteText"/>
      </w:pPr>
      <w:r w:rsidRPr="00FE50CF">
        <w:rPr>
          <w:rStyle w:val="EndnoteReference"/>
          <w:sz w:val="18"/>
          <w:szCs w:val="18"/>
        </w:rPr>
        <w:endnoteRef/>
      </w:r>
      <w:r w:rsidRPr="00FE50CF">
        <w:rPr>
          <w:sz w:val="18"/>
          <w:szCs w:val="18"/>
        </w:rPr>
        <w:t xml:space="preserve"> UNFPA (2018). Women who experience intimate partner violence, 2000-2018.</w:t>
      </w:r>
    </w:p>
  </w:endnote>
  <w:endnote w:id="21">
    <w:p w14:paraId="4C30B83F" w14:textId="77777777" w:rsidR="00D73605" w:rsidRPr="002618C3" w:rsidRDefault="00D73605" w:rsidP="008F7E10">
      <w:pPr>
        <w:pStyle w:val="EndnoteText"/>
        <w:rPr>
          <w:sz w:val="18"/>
          <w:szCs w:val="18"/>
        </w:rPr>
      </w:pPr>
      <w:r w:rsidRPr="002618C3">
        <w:rPr>
          <w:rStyle w:val="EndnoteReference"/>
          <w:sz w:val="18"/>
          <w:szCs w:val="18"/>
        </w:rPr>
        <w:endnoteRef/>
      </w:r>
      <w:r w:rsidRPr="002618C3">
        <w:rPr>
          <w:sz w:val="18"/>
          <w:szCs w:val="18"/>
        </w:rPr>
        <w:t xml:space="preserve"> ARROW (2018). </w:t>
      </w:r>
      <w:hyperlink r:id="rId16" w:history="1">
        <w:r w:rsidRPr="002618C3">
          <w:rPr>
            <w:rStyle w:val="Hyperlink"/>
            <w:sz w:val="18"/>
            <w:szCs w:val="18"/>
          </w:rPr>
          <w:t>Comprehensive Sexuality Education in Asia: A Regional Brief</w:t>
        </w:r>
      </w:hyperlink>
      <w:r w:rsidRPr="002618C3">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F612" w14:textId="29B179CA" w:rsidR="00C50699" w:rsidRDefault="00C50699" w:rsidP="00C50699">
    <w:pPr>
      <w:pStyle w:val="Footer"/>
      <w:jc w:val="center"/>
    </w:pPr>
    <w:r>
      <w:rPr>
        <w:noProof/>
      </w:rPr>
      <w:drawing>
        <wp:anchor distT="0" distB="0" distL="114300" distR="114300" simplePos="0" relativeHeight="251659264" behindDoc="1" locked="0" layoutInCell="1" allowOverlap="1" wp14:anchorId="1899F953" wp14:editId="590D8E18">
          <wp:simplePos x="0" y="0"/>
          <wp:positionH relativeFrom="margin">
            <wp:posOffset>2847340</wp:posOffset>
          </wp:positionH>
          <wp:positionV relativeFrom="paragraph">
            <wp:posOffset>141605</wp:posOffset>
          </wp:positionV>
          <wp:extent cx="1073785" cy="481681"/>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orizontal tagline@300x.jpg"/>
                  <pic:cNvPicPr/>
                </pic:nvPicPr>
                <pic:blipFill>
                  <a:blip r:embed="rId1">
                    <a:extLst>
                      <a:ext uri="{28A0092B-C50C-407E-A947-70E740481C1C}">
                        <a14:useLocalDpi xmlns:a14="http://schemas.microsoft.com/office/drawing/2010/main" val="0"/>
                      </a:ext>
                    </a:extLst>
                  </a:blip>
                  <a:stretch>
                    <a:fillRect/>
                  </a:stretch>
                </pic:blipFill>
                <pic:spPr>
                  <a:xfrm>
                    <a:off x="0" y="0"/>
                    <a:ext cx="1073785" cy="4816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DFE6F" w14:textId="77777777" w:rsidR="00926CE9" w:rsidRDefault="00926CE9" w:rsidP="006809C6">
      <w:pPr>
        <w:spacing w:after="0"/>
      </w:pPr>
      <w:r>
        <w:separator/>
      </w:r>
    </w:p>
  </w:footnote>
  <w:footnote w:type="continuationSeparator" w:id="0">
    <w:p w14:paraId="1D418462" w14:textId="77777777" w:rsidR="00926CE9" w:rsidRDefault="00926CE9" w:rsidP="006809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AAC3C" w14:textId="03946E5C" w:rsidR="00174451" w:rsidRDefault="00613770" w:rsidP="005F1705">
    <w:pPr>
      <w:pStyle w:val="Header"/>
      <w:jc w:val="center"/>
    </w:pPr>
    <w:r>
      <w:rPr>
        <w:noProof/>
      </w:rPr>
      <w:drawing>
        <wp:anchor distT="0" distB="0" distL="114300" distR="114300" simplePos="0" relativeHeight="251658240" behindDoc="1" locked="0" layoutInCell="1" allowOverlap="1" wp14:anchorId="705A81CE" wp14:editId="59148608">
          <wp:simplePos x="0" y="0"/>
          <wp:positionH relativeFrom="page">
            <wp:align>left</wp:align>
          </wp:positionH>
          <wp:positionV relativeFrom="paragraph">
            <wp:posOffset>-581025</wp:posOffset>
          </wp:positionV>
          <wp:extent cx="1038225" cy="1276687"/>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rcem-logo-main-long1.png"/>
                  <pic:cNvPicPr/>
                </pic:nvPicPr>
                <pic:blipFill rotWithShape="1">
                  <a:blip r:embed="rId1">
                    <a:extLst>
                      <a:ext uri="{28A0092B-C50C-407E-A947-70E740481C1C}">
                        <a14:useLocalDpi xmlns:a14="http://schemas.microsoft.com/office/drawing/2010/main" val="0"/>
                      </a:ext>
                    </a:extLst>
                  </a:blip>
                  <a:srcRect r="84656"/>
                  <a:stretch/>
                </pic:blipFill>
                <pic:spPr bwMode="auto">
                  <a:xfrm>
                    <a:off x="0" y="0"/>
                    <a:ext cx="1038225" cy="12766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9E6"/>
    <w:multiLevelType w:val="hybridMultilevel"/>
    <w:tmpl w:val="B8E0DDF6"/>
    <w:lvl w:ilvl="0" w:tplc="BDA4B898">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24589E"/>
    <w:multiLevelType w:val="hybridMultilevel"/>
    <w:tmpl w:val="C6344A2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4A7163"/>
    <w:multiLevelType w:val="hybridMultilevel"/>
    <w:tmpl w:val="4FECA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30A7C"/>
    <w:multiLevelType w:val="hybridMultilevel"/>
    <w:tmpl w:val="0AC47816"/>
    <w:lvl w:ilvl="0" w:tplc="C0840F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D54272"/>
    <w:multiLevelType w:val="multilevel"/>
    <w:tmpl w:val="91587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846104"/>
    <w:multiLevelType w:val="hybridMultilevel"/>
    <w:tmpl w:val="9A2C1BAA"/>
    <w:lvl w:ilvl="0" w:tplc="BDA4B898">
      <w:start w:val="1"/>
      <w:numFmt w:val="bullet"/>
      <w:lvlText w:val=""/>
      <w:lvlJc w:val="left"/>
      <w:pPr>
        <w:ind w:left="762" w:hanging="360"/>
      </w:pPr>
      <w:rPr>
        <w:rFonts w:ascii="Symbol" w:hAnsi="Symbol" w:hint="default"/>
        <w:b w:val="0"/>
      </w:rPr>
    </w:lvl>
    <w:lvl w:ilvl="1" w:tplc="08090003">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cs="Wingdings" w:hint="default"/>
      </w:rPr>
    </w:lvl>
    <w:lvl w:ilvl="3" w:tplc="08090001" w:tentative="1">
      <w:start w:val="1"/>
      <w:numFmt w:val="bullet"/>
      <w:lvlText w:val=""/>
      <w:lvlJc w:val="left"/>
      <w:pPr>
        <w:ind w:left="2922" w:hanging="360"/>
      </w:pPr>
      <w:rPr>
        <w:rFonts w:ascii="Symbol" w:hAnsi="Symbol" w:cs="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cs="Wingdings" w:hint="default"/>
      </w:rPr>
    </w:lvl>
    <w:lvl w:ilvl="6" w:tplc="08090001" w:tentative="1">
      <w:start w:val="1"/>
      <w:numFmt w:val="bullet"/>
      <w:lvlText w:val=""/>
      <w:lvlJc w:val="left"/>
      <w:pPr>
        <w:ind w:left="5082" w:hanging="360"/>
      </w:pPr>
      <w:rPr>
        <w:rFonts w:ascii="Symbol" w:hAnsi="Symbol" w:cs="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cs="Wingdings" w:hint="default"/>
      </w:rPr>
    </w:lvl>
  </w:abstractNum>
  <w:abstractNum w:abstractNumId="6" w15:restartNumberingAfterBreak="0">
    <w:nsid w:val="24D23450"/>
    <w:multiLevelType w:val="hybridMultilevel"/>
    <w:tmpl w:val="5BC02ECC"/>
    <w:lvl w:ilvl="0" w:tplc="BDA4B898">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843A53"/>
    <w:multiLevelType w:val="hybridMultilevel"/>
    <w:tmpl w:val="6A12B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874EDA"/>
    <w:multiLevelType w:val="multilevel"/>
    <w:tmpl w:val="70DAC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D1973"/>
    <w:multiLevelType w:val="multilevel"/>
    <w:tmpl w:val="18EC5A86"/>
    <w:lvl w:ilvl="0">
      <w:start w:val="1"/>
      <w:numFmt w:val="lowerRoman"/>
      <w:lvlText w:val="%1."/>
      <w:lvlJc w:val="right"/>
      <w:pPr>
        <w:ind w:left="360" w:hanging="360"/>
      </w:pPr>
      <w:rPr>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8325C99"/>
    <w:multiLevelType w:val="multilevel"/>
    <w:tmpl w:val="3D36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7D2F1D"/>
    <w:multiLevelType w:val="hybridMultilevel"/>
    <w:tmpl w:val="0B6476D4"/>
    <w:lvl w:ilvl="0" w:tplc="438EF75C">
      <w:start w:val="1"/>
      <w:numFmt w:val="lowerRoman"/>
      <w:lvlText w:val="%1."/>
      <w:lvlJc w:val="righ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A24A8A"/>
    <w:multiLevelType w:val="multilevel"/>
    <w:tmpl w:val="9E50F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92826A2"/>
    <w:multiLevelType w:val="hybridMultilevel"/>
    <w:tmpl w:val="6C3CC732"/>
    <w:lvl w:ilvl="0" w:tplc="B972C120">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D812AD"/>
    <w:multiLevelType w:val="multilevel"/>
    <w:tmpl w:val="5AAAC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30D1628"/>
    <w:multiLevelType w:val="hybridMultilevel"/>
    <w:tmpl w:val="C62E87DE"/>
    <w:lvl w:ilvl="0" w:tplc="BDA4B898">
      <w:start w:val="1"/>
      <w:numFmt w:val="bullet"/>
      <w:lvlText w:val=""/>
      <w:lvlJc w:val="left"/>
      <w:pPr>
        <w:ind w:left="360" w:hanging="360"/>
      </w:pPr>
      <w:rPr>
        <w:rFonts w:ascii="Symbol" w:hAnsi="Symbol" w:hint="default"/>
        <w:b w:val="0"/>
        <w:color w:val="auto"/>
      </w:rPr>
    </w:lvl>
    <w:lvl w:ilvl="1" w:tplc="08090003">
      <w:start w:val="1"/>
      <w:numFmt w:val="bullet"/>
      <w:lvlText w:val="o"/>
      <w:lvlJc w:val="left"/>
      <w:pPr>
        <w:ind w:left="90" w:hanging="360"/>
      </w:pPr>
      <w:rPr>
        <w:rFonts w:ascii="Courier New" w:hAnsi="Courier New" w:cs="Courier New" w:hint="default"/>
      </w:rPr>
    </w:lvl>
    <w:lvl w:ilvl="2" w:tplc="08090005">
      <w:start w:val="1"/>
      <w:numFmt w:val="bullet"/>
      <w:lvlText w:val=""/>
      <w:lvlJc w:val="left"/>
      <w:pPr>
        <w:ind w:left="810" w:hanging="360"/>
      </w:pPr>
      <w:rPr>
        <w:rFonts w:ascii="Wingdings" w:hAnsi="Wingdings" w:hint="default"/>
      </w:rPr>
    </w:lvl>
    <w:lvl w:ilvl="3" w:tplc="08090001" w:tentative="1">
      <w:start w:val="1"/>
      <w:numFmt w:val="bullet"/>
      <w:lvlText w:val=""/>
      <w:lvlJc w:val="left"/>
      <w:pPr>
        <w:ind w:left="1530" w:hanging="360"/>
      </w:pPr>
      <w:rPr>
        <w:rFonts w:ascii="Symbol" w:hAnsi="Symbol" w:hint="default"/>
      </w:rPr>
    </w:lvl>
    <w:lvl w:ilvl="4" w:tplc="08090003" w:tentative="1">
      <w:start w:val="1"/>
      <w:numFmt w:val="bullet"/>
      <w:lvlText w:val="o"/>
      <w:lvlJc w:val="left"/>
      <w:pPr>
        <w:ind w:left="2250" w:hanging="360"/>
      </w:pPr>
      <w:rPr>
        <w:rFonts w:ascii="Courier New" w:hAnsi="Courier New" w:cs="Courier New" w:hint="default"/>
      </w:rPr>
    </w:lvl>
    <w:lvl w:ilvl="5" w:tplc="08090005" w:tentative="1">
      <w:start w:val="1"/>
      <w:numFmt w:val="bullet"/>
      <w:lvlText w:val=""/>
      <w:lvlJc w:val="left"/>
      <w:pPr>
        <w:ind w:left="2970" w:hanging="360"/>
      </w:pPr>
      <w:rPr>
        <w:rFonts w:ascii="Wingdings" w:hAnsi="Wingdings" w:hint="default"/>
      </w:rPr>
    </w:lvl>
    <w:lvl w:ilvl="6" w:tplc="08090001" w:tentative="1">
      <w:start w:val="1"/>
      <w:numFmt w:val="bullet"/>
      <w:lvlText w:val=""/>
      <w:lvlJc w:val="left"/>
      <w:pPr>
        <w:ind w:left="3690" w:hanging="360"/>
      </w:pPr>
      <w:rPr>
        <w:rFonts w:ascii="Symbol" w:hAnsi="Symbol" w:hint="default"/>
      </w:rPr>
    </w:lvl>
    <w:lvl w:ilvl="7" w:tplc="08090003" w:tentative="1">
      <w:start w:val="1"/>
      <w:numFmt w:val="bullet"/>
      <w:lvlText w:val="o"/>
      <w:lvlJc w:val="left"/>
      <w:pPr>
        <w:ind w:left="4410" w:hanging="360"/>
      </w:pPr>
      <w:rPr>
        <w:rFonts w:ascii="Courier New" w:hAnsi="Courier New" w:cs="Courier New" w:hint="default"/>
      </w:rPr>
    </w:lvl>
    <w:lvl w:ilvl="8" w:tplc="08090005" w:tentative="1">
      <w:start w:val="1"/>
      <w:numFmt w:val="bullet"/>
      <w:lvlText w:val=""/>
      <w:lvlJc w:val="left"/>
      <w:pPr>
        <w:ind w:left="5130" w:hanging="360"/>
      </w:pPr>
      <w:rPr>
        <w:rFonts w:ascii="Wingdings" w:hAnsi="Wingdings" w:hint="default"/>
      </w:rPr>
    </w:lvl>
  </w:abstractNum>
  <w:abstractNum w:abstractNumId="16" w15:restartNumberingAfterBreak="0">
    <w:nsid w:val="77CA6244"/>
    <w:multiLevelType w:val="hybridMultilevel"/>
    <w:tmpl w:val="238C1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9459E3"/>
    <w:multiLevelType w:val="hybridMultilevel"/>
    <w:tmpl w:val="3266D22C"/>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
  </w:num>
  <w:num w:numId="2">
    <w:abstractNumId w:val="17"/>
  </w:num>
  <w:num w:numId="3">
    <w:abstractNumId w:val="4"/>
  </w:num>
  <w:num w:numId="4">
    <w:abstractNumId w:val="12"/>
  </w:num>
  <w:num w:numId="5">
    <w:abstractNumId w:val="13"/>
  </w:num>
  <w:num w:numId="6">
    <w:abstractNumId w:val="11"/>
  </w:num>
  <w:num w:numId="7">
    <w:abstractNumId w:val="15"/>
  </w:num>
  <w:num w:numId="8">
    <w:abstractNumId w:val="5"/>
  </w:num>
  <w:num w:numId="9">
    <w:abstractNumId w:val="10"/>
  </w:num>
  <w:num w:numId="10">
    <w:abstractNumId w:val="9"/>
  </w:num>
  <w:num w:numId="11">
    <w:abstractNumId w:val="3"/>
  </w:num>
  <w:num w:numId="12">
    <w:abstractNumId w:val="8"/>
  </w:num>
  <w:num w:numId="13">
    <w:abstractNumId w:val="7"/>
  </w:num>
  <w:num w:numId="14">
    <w:abstractNumId w:val="6"/>
  </w:num>
  <w:num w:numId="15">
    <w:abstractNumId w:val="16"/>
  </w:num>
  <w:num w:numId="16">
    <w:abstractNumId w:val="1"/>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A0"/>
    <w:rsid w:val="00002CC1"/>
    <w:rsid w:val="00006B7E"/>
    <w:rsid w:val="00015B19"/>
    <w:rsid w:val="00021123"/>
    <w:rsid w:val="0002140B"/>
    <w:rsid w:val="0002365E"/>
    <w:rsid w:val="000238DA"/>
    <w:rsid w:val="0002463F"/>
    <w:rsid w:val="00024A61"/>
    <w:rsid w:val="0002649D"/>
    <w:rsid w:val="00030E3B"/>
    <w:rsid w:val="000337EB"/>
    <w:rsid w:val="00034247"/>
    <w:rsid w:val="000352FE"/>
    <w:rsid w:val="000366F2"/>
    <w:rsid w:val="00037DA7"/>
    <w:rsid w:val="00041718"/>
    <w:rsid w:val="00041C65"/>
    <w:rsid w:val="00041D86"/>
    <w:rsid w:val="00045F9D"/>
    <w:rsid w:val="00051EE3"/>
    <w:rsid w:val="00072A8D"/>
    <w:rsid w:val="00072B27"/>
    <w:rsid w:val="00072F2A"/>
    <w:rsid w:val="0007382D"/>
    <w:rsid w:val="00073AA2"/>
    <w:rsid w:val="00077F5D"/>
    <w:rsid w:val="00080519"/>
    <w:rsid w:val="00080D1B"/>
    <w:rsid w:val="00081E2E"/>
    <w:rsid w:val="000845DD"/>
    <w:rsid w:val="00084C6D"/>
    <w:rsid w:val="00086332"/>
    <w:rsid w:val="00086BCC"/>
    <w:rsid w:val="00090456"/>
    <w:rsid w:val="00092302"/>
    <w:rsid w:val="000928E3"/>
    <w:rsid w:val="00094E30"/>
    <w:rsid w:val="00096804"/>
    <w:rsid w:val="00096A3B"/>
    <w:rsid w:val="000A25E7"/>
    <w:rsid w:val="000A43C4"/>
    <w:rsid w:val="000A6F3B"/>
    <w:rsid w:val="000A7C3C"/>
    <w:rsid w:val="000B037B"/>
    <w:rsid w:val="000B6F53"/>
    <w:rsid w:val="000B7AA4"/>
    <w:rsid w:val="000C0F9A"/>
    <w:rsid w:val="000C78E1"/>
    <w:rsid w:val="000C7C62"/>
    <w:rsid w:val="000D140F"/>
    <w:rsid w:val="000D3E98"/>
    <w:rsid w:val="000D4B11"/>
    <w:rsid w:val="000D5381"/>
    <w:rsid w:val="000D732E"/>
    <w:rsid w:val="000E04F1"/>
    <w:rsid w:val="000E094C"/>
    <w:rsid w:val="000E1917"/>
    <w:rsid w:val="000E2340"/>
    <w:rsid w:val="000E331F"/>
    <w:rsid w:val="000E4C64"/>
    <w:rsid w:val="000E6E83"/>
    <w:rsid w:val="000E7167"/>
    <w:rsid w:val="000E7CD3"/>
    <w:rsid w:val="000F2A96"/>
    <w:rsid w:val="000F35A1"/>
    <w:rsid w:val="000F36AD"/>
    <w:rsid w:val="000F4E89"/>
    <w:rsid w:val="000F64C7"/>
    <w:rsid w:val="000F687E"/>
    <w:rsid w:val="000F7F77"/>
    <w:rsid w:val="00100E1A"/>
    <w:rsid w:val="001013D2"/>
    <w:rsid w:val="0010565D"/>
    <w:rsid w:val="00107225"/>
    <w:rsid w:val="001165A9"/>
    <w:rsid w:val="0011772D"/>
    <w:rsid w:val="00117852"/>
    <w:rsid w:val="00117ED1"/>
    <w:rsid w:val="001208D0"/>
    <w:rsid w:val="0012090A"/>
    <w:rsid w:val="001216D6"/>
    <w:rsid w:val="00122601"/>
    <w:rsid w:val="00127159"/>
    <w:rsid w:val="0013283D"/>
    <w:rsid w:val="00132D7C"/>
    <w:rsid w:val="001375A5"/>
    <w:rsid w:val="00137C55"/>
    <w:rsid w:val="00140D67"/>
    <w:rsid w:val="00143ADE"/>
    <w:rsid w:val="00144CBA"/>
    <w:rsid w:val="00146642"/>
    <w:rsid w:val="00146890"/>
    <w:rsid w:val="00151120"/>
    <w:rsid w:val="001515AC"/>
    <w:rsid w:val="00151F01"/>
    <w:rsid w:val="0016542F"/>
    <w:rsid w:val="0017009E"/>
    <w:rsid w:val="00171C20"/>
    <w:rsid w:val="00171CDA"/>
    <w:rsid w:val="00174451"/>
    <w:rsid w:val="00180E29"/>
    <w:rsid w:val="00185BDF"/>
    <w:rsid w:val="00187370"/>
    <w:rsid w:val="00192D88"/>
    <w:rsid w:val="00192DE5"/>
    <w:rsid w:val="0019365A"/>
    <w:rsid w:val="00193F5D"/>
    <w:rsid w:val="00194651"/>
    <w:rsid w:val="001965CC"/>
    <w:rsid w:val="00196F2A"/>
    <w:rsid w:val="001A1035"/>
    <w:rsid w:val="001A1A04"/>
    <w:rsid w:val="001A208F"/>
    <w:rsid w:val="001A2A8B"/>
    <w:rsid w:val="001B04C9"/>
    <w:rsid w:val="001B04E3"/>
    <w:rsid w:val="001B1580"/>
    <w:rsid w:val="001B2A8B"/>
    <w:rsid w:val="001B301A"/>
    <w:rsid w:val="001B341D"/>
    <w:rsid w:val="001C5396"/>
    <w:rsid w:val="001C6EE8"/>
    <w:rsid w:val="001D0296"/>
    <w:rsid w:val="001D0D29"/>
    <w:rsid w:val="001D10C1"/>
    <w:rsid w:val="001D2B7B"/>
    <w:rsid w:val="001E0CE2"/>
    <w:rsid w:val="001E1576"/>
    <w:rsid w:val="001E21C0"/>
    <w:rsid w:val="001E3F34"/>
    <w:rsid w:val="001E42CB"/>
    <w:rsid w:val="001F39A9"/>
    <w:rsid w:val="001F3B91"/>
    <w:rsid w:val="001F5E17"/>
    <w:rsid w:val="001F7E8F"/>
    <w:rsid w:val="00205EF5"/>
    <w:rsid w:val="002075B0"/>
    <w:rsid w:val="00210072"/>
    <w:rsid w:val="0021078F"/>
    <w:rsid w:val="00210E49"/>
    <w:rsid w:val="00211321"/>
    <w:rsid w:val="00213251"/>
    <w:rsid w:val="0021695D"/>
    <w:rsid w:val="00216D8A"/>
    <w:rsid w:val="00217B01"/>
    <w:rsid w:val="002251CC"/>
    <w:rsid w:val="00225495"/>
    <w:rsid w:val="002279D1"/>
    <w:rsid w:val="00227D8C"/>
    <w:rsid w:val="00230C47"/>
    <w:rsid w:val="0023229B"/>
    <w:rsid w:val="00233539"/>
    <w:rsid w:val="002336B9"/>
    <w:rsid w:val="0023458E"/>
    <w:rsid w:val="00236EA0"/>
    <w:rsid w:val="00242BDB"/>
    <w:rsid w:val="00243037"/>
    <w:rsid w:val="00245CE8"/>
    <w:rsid w:val="002527C5"/>
    <w:rsid w:val="00252A6A"/>
    <w:rsid w:val="002555DC"/>
    <w:rsid w:val="002618C3"/>
    <w:rsid w:val="00262B3D"/>
    <w:rsid w:val="0026346A"/>
    <w:rsid w:val="00263FA4"/>
    <w:rsid w:val="0027066D"/>
    <w:rsid w:val="00270DAE"/>
    <w:rsid w:val="00271A7B"/>
    <w:rsid w:val="00273247"/>
    <w:rsid w:val="00273FF7"/>
    <w:rsid w:val="00275973"/>
    <w:rsid w:val="0027758A"/>
    <w:rsid w:val="002807CD"/>
    <w:rsid w:val="0028105E"/>
    <w:rsid w:val="00281A6D"/>
    <w:rsid w:val="00282259"/>
    <w:rsid w:val="002829A0"/>
    <w:rsid w:val="00283156"/>
    <w:rsid w:val="00290311"/>
    <w:rsid w:val="00294629"/>
    <w:rsid w:val="00295C17"/>
    <w:rsid w:val="002A1E24"/>
    <w:rsid w:val="002A36F6"/>
    <w:rsid w:val="002A461F"/>
    <w:rsid w:val="002A4DE6"/>
    <w:rsid w:val="002A5B92"/>
    <w:rsid w:val="002A7BC7"/>
    <w:rsid w:val="002B32D7"/>
    <w:rsid w:val="002B3510"/>
    <w:rsid w:val="002B37B5"/>
    <w:rsid w:val="002B49D0"/>
    <w:rsid w:val="002B7FAF"/>
    <w:rsid w:val="002C276E"/>
    <w:rsid w:val="002C2F78"/>
    <w:rsid w:val="002C326B"/>
    <w:rsid w:val="002C4CCD"/>
    <w:rsid w:val="002C5239"/>
    <w:rsid w:val="002D234A"/>
    <w:rsid w:val="002D5829"/>
    <w:rsid w:val="002D6533"/>
    <w:rsid w:val="002D6CE9"/>
    <w:rsid w:val="002E4F9D"/>
    <w:rsid w:val="002F185E"/>
    <w:rsid w:val="00306065"/>
    <w:rsid w:val="003077A3"/>
    <w:rsid w:val="00314F80"/>
    <w:rsid w:val="00315549"/>
    <w:rsid w:val="00324713"/>
    <w:rsid w:val="00324B89"/>
    <w:rsid w:val="0032600C"/>
    <w:rsid w:val="00330846"/>
    <w:rsid w:val="0033417D"/>
    <w:rsid w:val="00336539"/>
    <w:rsid w:val="003507CF"/>
    <w:rsid w:val="003516D1"/>
    <w:rsid w:val="003552D1"/>
    <w:rsid w:val="00355BE6"/>
    <w:rsid w:val="0035633C"/>
    <w:rsid w:val="00357D8C"/>
    <w:rsid w:val="003604E1"/>
    <w:rsid w:val="00360C3D"/>
    <w:rsid w:val="003629F5"/>
    <w:rsid w:val="00363AD8"/>
    <w:rsid w:val="00364151"/>
    <w:rsid w:val="0036484F"/>
    <w:rsid w:val="00366F07"/>
    <w:rsid w:val="00367D24"/>
    <w:rsid w:val="0037057D"/>
    <w:rsid w:val="00371A9B"/>
    <w:rsid w:val="00371B6A"/>
    <w:rsid w:val="00375F77"/>
    <w:rsid w:val="00377727"/>
    <w:rsid w:val="00380E55"/>
    <w:rsid w:val="00382F07"/>
    <w:rsid w:val="00384DD2"/>
    <w:rsid w:val="003947E2"/>
    <w:rsid w:val="003958E7"/>
    <w:rsid w:val="003A21CC"/>
    <w:rsid w:val="003A5E17"/>
    <w:rsid w:val="003B05FE"/>
    <w:rsid w:val="003B0807"/>
    <w:rsid w:val="003B0BCE"/>
    <w:rsid w:val="003B1F86"/>
    <w:rsid w:val="003B593B"/>
    <w:rsid w:val="003B7F0D"/>
    <w:rsid w:val="003C1C3A"/>
    <w:rsid w:val="003C42B3"/>
    <w:rsid w:val="003C70C7"/>
    <w:rsid w:val="003C7364"/>
    <w:rsid w:val="003E20C0"/>
    <w:rsid w:val="003E346F"/>
    <w:rsid w:val="003E7CB0"/>
    <w:rsid w:val="003F20A8"/>
    <w:rsid w:val="003F25BB"/>
    <w:rsid w:val="003F3AE1"/>
    <w:rsid w:val="003F4455"/>
    <w:rsid w:val="003F7225"/>
    <w:rsid w:val="004037EB"/>
    <w:rsid w:val="004048E8"/>
    <w:rsid w:val="00405F07"/>
    <w:rsid w:val="00421577"/>
    <w:rsid w:val="00421F6E"/>
    <w:rsid w:val="00422B82"/>
    <w:rsid w:val="0042759E"/>
    <w:rsid w:val="0043091E"/>
    <w:rsid w:val="004311D8"/>
    <w:rsid w:val="00431C63"/>
    <w:rsid w:val="00433DC0"/>
    <w:rsid w:val="00434128"/>
    <w:rsid w:val="00437FF6"/>
    <w:rsid w:val="00441659"/>
    <w:rsid w:val="0044274C"/>
    <w:rsid w:val="00443C35"/>
    <w:rsid w:val="00444A8B"/>
    <w:rsid w:val="00450354"/>
    <w:rsid w:val="00453209"/>
    <w:rsid w:val="0045473B"/>
    <w:rsid w:val="00454956"/>
    <w:rsid w:val="00480294"/>
    <w:rsid w:val="0048058E"/>
    <w:rsid w:val="00482F3F"/>
    <w:rsid w:val="00485D54"/>
    <w:rsid w:val="004A0563"/>
    <w:rsid w:val="004A1443"/>
    <w:rsid w:val="004A3FD3"/>
    <w:rsid w:val="004A4D42"/>
    <w:rsid w:val="004A6EEA"/>
    <w:rsid w:val="004B06F7"/>
    <w:rsid w:val="004B132B"/>
    <w:rsid w:val="004B1C97"/>
    <w:rsid w:val="004B5F9D"/>
    <w:rsid w:val="004C0067"/>
    <w:rsid w:val="004D30DB"/>
    <w:rsid w:val="004D5FC5"/>
    <w:rsid w:val="004E3926"/>
    <w:rsid w:val="004E53D8"/>
    <w:rsid w:val="004E64D6"/>
    <w:rsid w:val="004E6BA2"/>
    <w:rsid w:val="004F036B"/>
    <w:rsid w:val="004F070E"/>
    <w:rsid w:val="004F55E1"/>
    <w:rsid w:val="004F5AE3"/>
    <w:rsid w:val="004F63C6"/>
    <w:rsid w:val="00500F2F"/>
    <w:rsid w:val="00503C37"/>
    <w:rsid w:val="005110D3"/>
    <w:rsid w:val="00511212"/>
    <w:rsid w:val="00515824"/>
    <w:rsid w:val="00517BEC"/>
    <w:rsid w:val="005202BF"/>
    <w:rsid w:val="00520BD5"/>
    <w:rsid w:val="005213AC"/>
    <w:rsid w:val="00522ACA"/>
    <w:rsid w:val="005251C9"/>
    <w:rsid w:val="005270CE"/>
    <w:rsid w:val="00527A81"/>
    <w:rsid w:val="0053112B"/>
    <w:rsid w:val="00533F5F"/>
    <w:rsid w:val="00536FB9"/>
    <w:rsid w:val="005407D4"/>
    <w:rsid w:val="00540CBE"/>
    <w:rsid w:val="00544092"/>
    <w:rsid w:val="005448EB"/>
    <w:rsid w:val="0054604D"/>
    <w:rsid w:val="00546D81"/>
    <w:rsid w:val="005502AE"/>
    <w:rsid w:val="00550A9F"/>
    <w:rsid w:val="005545DC"/>
    <w:rsid w:val="00555447"/>
    <w:rsid w:val="00556CFA"/>
    <w:rsid w:val="005608D4"/>
    <w:rsid w:val="0056303F"/>
    <w:rsid w:val="00565770"/>
    <w:rsid w:val="00576A3B"/>
    <w:rsid w:val="00577095"/>
    <w:rsid w:val="00580053"/>
    <w:rsid w:val="00580D94"/>
    <w:rsid w:val="00582871"/>
    <w:rsid w:val="00585CD7"/>
    <w:rsid w:val="00586172"/>
    <w:rsid w:val="00591667"/>
    <w:rsid w:val="00591C33"/>
    <w:rsid w:val="00593257"/>
    <w:rsid w:val="00593DCF"/>
    <w:rsid w:val="0059465A"/>
    <w:rsid w:val="00594C93"/>
    <w:rsid w:val="00594F54"/>
    <w:rsid w:val="00596E6C"/>
    <w:rsid w:val="005A1457"/>
    <w:rsid w:val="005A2A79"/>
    <w:rsid w:val="005A2CAB"/>
    <w:rsid w:val="005A59F4"/>
    <w:rsid w:val="005A614C"/>
    <w:rsid w:val="005A7189"/>
    <w:rsid w:val="005A7BFC"/>
    <w:rsid w:val="005B0606"/>
    <w:rsid w:val="005B0FE2"/>
    <w:rsid w:val="005B1176"/>
    <w:rsid w:val="005B71DA"/>
    <w:rsid w:val="005C4276"/>
    <w:rsid w:val="005C46EE"/>
    <w:rsid w:val="005C47E8"/>
    <w:rsid w:val="005D57C4"/>
    <w:rsid w:val="005D6BD4"/>
    <w:rsid w:val="005E3631"/>
    <w:rsid w:val="005E395B"/>
    <w:rsid w:val="005E657B"/>
    <w:rsid w:val="005E7A8E"/>
    <w:rsid w:val="005E7C94"/>
    <w:rsid w:val="005F1705"/>
    <w:rsid w:val="005F2A05"/>
    <w:rsid w:val="005F3DAD"/>
    <w:rsid w:val="005F6A61"/>
    <w:rsid w:val="005F78A1"/>
    <w:rsid w:val="006018B6"/>
    <w:rsid w:val="00602422"/>
    <w:rsid w:val="00602909"/>
    <w:rsid w:val="00602B86"/>
    <w:rsid w:val="0061319B"/>
    <w:rsid w:val="00613770"/>
    <w:rsid w:val="006139EC"/>
    <w:rsid w:val="0061624B"/>
    <w:rsid w:val="006168CC"/>
    <w:rsid w:val="00620AFB"/>
    <w:rsid w:val="006211DC"/>
    <w:rsid w:val="006213A3"/>
    <w:rsid w:val="006222CE"/>
    <w:rsid w:val="00623295"/>
    <w:rsid w:val="006242D8"/>
    <w:rsid w:val="00624463"/>
    <w:rsid w:val="00624BDA"/>
    <w:rsid w:val="00627F87"/>
    <w:rsid w:val="0063133C"/>
    <w:rsid w:val="0063344F"/>
    <w:rsid w:val="00633AD8"/>
    <w:rsid w:val="006378B8"/>
    <w:rsid w:val="00640ABA"/>
    <w:rsid w:val="00640F44"/>
    <w:rsid w:val="00642554"/>
    <w:rsid w:val="00643804"/>
    <w:rsid w:val="00643F4B"/>
    <w:rsid w:val="006440DD"/>
    <w:rsid w:val="00646945"/>
    <w:rsid w:val="006470AA"/>
    <w:rsid w:val="0064727E"/>
    <w:rsid w:val="006527C5"/>
    <w:rsid w:val="00653B65"/>
    <w:rsid w:val="006552EA"/>
    <w:rsid w:val="0066184B"/>
    <w:rsid w:val="00662BF2"/>
    <w:rsid w:val="0066409D"/>
    <w:rsid w:val="0066437F"/>
    <w:rsid w:val="0067511F"/>
    <w:rsid w:val="00675EAF"/>
    <w:rsid w:val="006778F7"/>
    <w:rsid w:val="00677F5E"/>
    <w:rsid w:val="00680652"/>
    <w:rsid w:val="006809C6"/>
    <w:rsid w:val="00682E33"/>
    <w:rsid w:val="006870BF"/>
    <w:rsid w:val="00691642"/>
    <w:rsid w:val="00695DF2"/>
    <w:rsid w:val="006A3F0A"/>
    <w:rsid w:val="006A4A88"/>
    <w:rsid w:val="006A7B36"/>
    <w:rsid w:val="006B04C5"/>
    <w:rsid w:val="006B181C"/>
    <w:rsid w:val="006B3B9A"/>
    <w:rsid w:val="006C5155"/>
    <w:rsid w:val="006C55F3"/>
    <w:rsid w:val="006C563F"/>
    <w:rsid w:val="006D0C89"/>
    <w:rsid w:val="006D181C"/>
    <w:rsid w:val="006D1F45"/>
    <w:rsid w:val="006D330A"/>
    <w:rsid w:val="006D44DD"/>
    <w:rsid w:val="006F10D8"/>
    <w:rsid w:val="006F1502"/>
    <w:rsid w:val="006F3F7C"/>
    <w:rsid w:val="007000C0"/>
    <w:rsid w:val="00710381"/>
    <w:rsid w:val="0071169A"/>
    <w:rsid w:val="00712A7F"/>
    <w:rsid w:val="00712E08"/>
    <w:rsid w:val="007143C5"/>
    <w:rsid w:val="007150CD"/>
    <w:rsid w:val="00716037"/>
    <w:rsid w:val="0072524F"/>
    <w:rsid w:val="0072722E"/>
    <w:rsid w:val="00731B4D"/>
    <w:rsid w:val="0073501B"/>
    <w:rsid w:val="00735EF3"/>
    <w:rsid w:val="00740A02"/>
    <w:rsid w:val="00742D25"/>
    <w:rsid w:val="00743FCA"/>
    <w:rsid w:val="0074629A"/>
    <w:rsid w:val="00750DAD"/>
    <w:rsid w:val="007511F8"/>
    <w:rsid w:val="007532FB"/>
    <w:rsid w:val="0075364E"/>
    <w:rsid w:val="007551CD"/>
    <w:rsid w:val="00755F4A"/>
    <w:rsid w:val="007570AD"/>
    <w:rsid w:val="0076437F"/>
    <w:rsid w:val="007644DE"/>
    <w:rsid w:val="0076522F"/>
    <w:rsid w:val="00765A0B"/>
    <w:rsid w:val="00770B4F"/>
    <w:rsid w:val="007710B5"/>
    <w:rsid w:val="0077148F"/>
    <w:rsid w:val="00772FCD"/>
    <w:rsid w:val="00774130"/>
    <w:rsid w:val="00776BE9"/>
    <w:rsid w:val="007770A8"/>
    <w:rsid w:val="00777DF2"/>
    <w:rsid w:val="00780965"/>
    <w:rsid w:val="00780E5A"/>
    <w:rsid w:val="00781065"/>
    <w:rsid w:val="00782560"/>
    <w:rsid w:val="007831DE"/>
    <w:rsid w:val="00785D41"/>
    <w:rsid w:val="00785EF9"/>
    <w:rsid w:val="00786AC1"/>
    <w:rsid w:val="007901F7"/>
    <w:rsid w:val="00790B61"/>
    <w:rsid w:val="00792C3C"/>
    <w:rsid w:val="007A012E"/>
    <w:rsid w:val="007A0EDA"/>
    <w:rsid w:val="007A1395"/>
    <w:rsid w:val="007A148D"/>
    <w:rsid w:val="007A1AB0"/>
    <w:rsid w:val="007A2D73"/>
    <w:rsid w:val="007A3A1D"/>
    <w:rsid w:val="007A5AB3"/>
    <w:rsid w:val="007B2680"/>
    <w:rsid w:val="007B37D1"/>
    <w:rsid w:val="007B392C"/>
    <w:rsid w:val="007B3D0B"/>
    <w:rsid w:val="007B51E3"/>
    <w:rsid w:val="007C02EF"/>
    <w:rsid w:val="007C503A"/>
    <w:rsid w:val="007C6AD3"/>
    <w:rsid w:val="007C6DC6"/>
    <w:rsid w:val="007D10BA"/>
    <w:rsid w:val="007D1882"/>
    <w:rsid w:val="007D3D83"/>
    <w:rsid w:val="007D73CF"/>
    <w:rsid w:val="007E014F"/>
    <w:rsid w:val="007E6D33"/>
    <w:rsid w:val="007F07B5"/>
    <w:rsid w:val="007F4FE3"/>
    <w:rsid w:val="007F5849"/>
    <w:rsid w:val="007F5D6D"/>
    <w:rsid w:val="007F7FF5"/>
    <w:rsid w:val="00800992"/>
    <w:rsid w:val="0080205E"/>
    <w:rsid w:val="00803855"/>
    <w:rsid w:val="00804A82"/>
    <w:rsid w:val="00804D21"/>
    <w:rsid w:val="0080558A"/>
    <w:rsid w:val="00806072"/>
    <w:rsid w:val="00811903"/>
    <w:rsid w:val="00811FE5"/>
    <w:rsid w:val="008121D1"/>
    <w:rsid w:val="008238C1"/>
    <w:rsid w:val="00823B48"/>
    <w:rsid w:val="00824290"/>
    <w:rsid w:val="008257F8"/>
    <w:rsid w:val="008306B9"/>
    <w:rsid w:val="00841DCD"/>
    <w:rsid w:val="0084625D"/>
    <w:rsid w:val="00847B2C"/>
    <w:rsid w:val="00850ADA"/>
    <w:rsid w:val="00857459"/>
    <w:rsid w:val="00863050"/>
    <w:rsid w:val="00863D32"/>
    <w:rsid w:val="00864762"/>
    <w:rsid w:val="00865348"/>
    <w:rsid w:val="00870F0F"/>
    <w:rsid w:val="00872445"/>
    <w:rsid w:val="008765F6"/>
    <w:rsid w:val="00881158"/>
    <w:rsid w:val="00882361"/>
    <w:rsid w:val="0088236D"/>
    <w:rsid w:val="008827B7"/>
    <w:rsid w:val="00882D63"/>
    <w:rsid w:val="00882E2D"/>
    <w:rsid w:val="0088366C"/>
    <w:rsid w:val="00884C86"/>
    <w:rsid w:val="008872CA"/>
    <w:rsid w:val="0089167F"/>
    <w:rsid w:val="00892B8F"/>
    <w:rsid w:val="00893AF7"/>
    <w:rsid w:val="008A086F"/>
    <w:rsid w:val="008A2995"/>
    <w:rsid w:val="008A58BF"/>
    <w:rsid w:val="008A625C"/>
    <w:rsid w:val="008B1DCF"/>
    <w:rsid w:val="008B3839"/>
    <w:rsid w:val="008B457F"/>
    <w:rsid w:val="008B470D"/>
    <w:rsid w:val="008B4C44"/>
    <w:rsid w:val="008B53BE"/>
    <w:rsid w:val="008B552F"/>
    <w:rsid w:val="008B62A4"/>
    <w:rsid w:val="008C59F7"/>
    <w:rsid w:val="008C711A"/>
    <w:rsid w:val="008D07C3"/>
    <w:rsid w:val="008D155B"/>
    <w:rsid w:val="008D1FCB"/>
    <w:rsid w:val="008D6A21"/>
    <w:rsid w:val="008E2811"/>
    <w:rsid w:val="008F216F"/>
    <w:rsid w:val="008F3617"/>
    <w:rsid w:val="008F44FB"/>
    <w:rsid w:val="008F571C"/>
    <w:rsid w:val="008F6F1E"/>
    <w:rsid w:val="008F7E10"/>
    <w:rsid w:val="00901DB3"/>
    <w:rsid w:val="00902BF4"/>
    <w:rsid w:val="00913215"/>
    <w:rsid w:val="00914D87"/>
    <w:rsid w:val="00926CE9"/>
    <w:rsid w:val="00931210"/>
    <w:rsid w:val="00932207"/>
    <w:rsid w:val="00933828"/>
    <w:rsid w:val="00935752"/>
    <w:rsid w:val="00937470"/>
    <w:rsid w:val="00937ECF"/>
    <w:rsid w:val="00941011"/>
    <w:rsid w:val="009412FC"/>
    <w:rsid w:val="00945750"/>
    <w:rsid w:val="00945A15"/>
    <w:rsid w:val="0095165A"/>
    <w:rsid w:val="00952D93"/>
    <w:rsid w:val="00952E0D"/>
    <w:rsid w:val="0095308E"/>
    <w:rsid w:val="009546B2"/>
    <w:rsid w:val="009612CA"/>
    <w:rsid w:val="00961765"/>
    <w:rsid w:val="0096280C"/>
    <w:rsid w:val="0096426B"/>
    <w:rsid w:val="00965FC4"/>
    <w:rsid w:val="0096655D"/>
    <w:rsid w:val="0096765B"/>
    <w:rsid w:val="0097010E"/>
    <w:rsid w:val="00971465"/>
    <w:rsid w:val="00980752"/>
    <w:rsid w:val="00981362"/>
    <w:rsid w:val="00981867"/>
    <w:rsid w:val="009825CC"/>
    <w:rsid w:val="009866BC"/>
    <w:rsid w:val="00986A4C"/>
    <w:rsid w:val="00991AEA"/>
    <w:rsid w:val="009936CD"/>
    <w:rsid w:val="00995F3E"/>
    <w:rsid w:val="00996542"/>
    <w:rsid w:val="0099728E"/>
    <w:rsid w:val="009973B1"/>
    <w:rsid w:val="00997ED7"/>
    <w:rsid w:val="009A0BBB"/>
    <w:rsid w:val="009A0E20"/>
    <w:rsid w:val="009A3B77"/>
    <w:rsid w:val="009A410A"/>
    <w:rsid w:val="009A4990"/>
    <w:rsid w:val="009A53D9"/>
    <w:rsid w:val="009A54D0"/>
    <w:rsid w:val="009A5C13"/>
    <w:rsid w:val="009A6EE3"/>
    <w:rsid w:val="009A7F92"/>
    <w:rsid w:val="009B1032"/>
    <w:rsid w:val="009D1F10"/>
    <w:rsid w:val="009D2851"/>
    <w:rsid w:val="009D32AE"/>
    <w:rsid w:val="009D42B4"/>
    <w:rsid w:val="009D4377"/>
    <w:rsid w:val="009D713F"/>
    <w:rsid w:val="009E0938"/>
    <w:rsid w:val="009E288F"/>
    <w:rsid w:val="009E45F3"/>
    <w:rsid w:val="009E47EC"/>
    <w:rsid w:val="009F0D20"/>
    <w:rsid w:val="009F1EA7"/>
    <w:rsid w:val="009F2069"/>
    <w:rsid w:val="009F2845"/>
    <w:rsid w:val="009F5A9D"/>
    <w:rsid w:val="009F6139"/>
    <w:rsid w:val="009F7472"/>
    <w:rsid w:val="00A07646"/>
    <w:rsid w:val="00A16A2F"/>
    <w:rsid w:val="00A17670"/>
    <w:rsid w:val="00A17CC2"/>
    <w:rsid w:val="00A20945"/>
    <w:rsid w:val="00A23C36"/>
    <w:rsid w:val="00A24185"/>
    <w:rsid w:val="00A27067"/>
    <w:rsid w:val="00A321F3"/>
    <w:rsid w:val="00A36DA6"/>
    <w:rsid w:val="00A42CC8"/>
    <w:rsid w:val="00A5000A"/>
    <w:rsid w:val="00A50876"/>
    <w:rsid w:val="00A51713"/>
    <w:rsid w:val="00A60EF3"/>
    <w:rsid w:val="00A61175"/>
    <w:rsid w:val="00A638BE"/>
    <w:rsid w:val="00A6434F"/>
    <w:rsid w:val="00A7015D"/>
    <w:rsid w:val="00A76B60"/>
    <w:rsid w:val="00A84524"/>
    <w:rsid w:val="00A85A52"/>
    <w:rsid w:val="00A944C3"/>
    <w:rsid w:val="00A946F5"/>
    <w:rsid w:val="00A957E8"/>
    <w:rsid w:val="00A97CC4"/>
    <w:rsid w:val="00AA0815"/>
    <w:rsid w:val="00AA1897"/>
    <w:rsid w:val="00AA3915"/>
    <w:rsid w:val="00AA5E34"/>
    <w:rsid w:val="00AC0DDB"/>
    <w:rsid w:val="00AC1746"/>
    <w:rsid w:val="00AC7912"/>
    <w:rsid w:val="00AD6105"/>
    <w:rsid w:val="00AD6CE4"/>
    <w:rsid w:val="00AD702B"/>
    <w:rsid w:val="00AE4AC6"/>
    <w:rsid w:val="00AE5D73"/>
    <w:rsid w:val="00AF5296"/>
    <w:rsid w:val="00AF57BC"/>
    <w:rsid w:val="00AF5976"/>
    <w:rsid w:val="00AF6C42"/>
    <w:rsid w:val="00B03C9D"/>
    <w:rsid w:val="00B05B25"/>
    <w:rsid w:val="00B06D4D"/>
    <w:rsid w:val="00B1017C"/>
    <w:rsid w:val="00B11FD4"/>
    <w:rsid w:val="00B135C9"/>
    <w:rsid w:val="00B16FD8"/>
    <w:rsid w:val="00B178F5"/>
    <w:rsid w:val="00B227CC"/>
    <w:rsid w:val="00B23263"/>
    <w:rsid w:val="00B23BB2"/>
    <w:rsid w:val="00B24FF4"/>
    <w:rsid w:val="00B2611C"/>
    <w:rsid w:val="00B269E5"/>
    <w:rsid w:val="00B27A22"/>
    <w:rsid w:val="00B33879"/>
    <w:rsid w:val="00B35AF8"/>
    <w:rsid w:val="00B35C40"/>
    <w:rsid w:val="00B41C6F"/>
    <w:rsid w:val="00B438CC"/>
    <w:rsid w:val="00B45D6C"/>
    <w:rsid w:val="00B50423"/>
    <w:rsid w:val="00B50B22"/>
    <w:rsid w:val="00B51CD4"/>
    <w:rsid w:val="00B521F9"/>
    <w:rsid w:val="00B61806"/>
    <w:rsid w:val="00B67098"/>
    <w:rsid w:val="00B67F0F"/>
    <w:rsid w:val="00B7016B"/>
    <w:rsid w:val="00B77B23"/>
    <w:rsid w:val="00B807D3"/>
    <w:rsid w:val="00B81EFB"/>
    <w:rsid w:val="00B8346A"/>
    <w:rsid w:val="00B85A6C"/>
    <w:rsid w:val="00B87D80"/>
    <w:rsid w:val="00B90D50"/>
    <w:rsid w:val="00B926FF"/>
    <w:rsid w:val="00B95462"/>
    <w:rsid w:val="00B96B1F"/>
    <w:rsid w:val="00BA430B"/>
    <w:rsid w:val="00BA48E6"/>
    <w:rsid w:val="00BB6698"/>
    <w:rsid w:val="00BC0760"/>
    <w:rsid w:val="00BC4BE3"/>
    <w:rsid w:val="00BC5C50"/>
    <w:rsid w:val="00BC6823"/>
    <w:rsid w:val="00BC6E99"/>
    <w:rsid w:val="00BD466A"/>
    <w:rsid w:val="00BD4B79"/>
    <w:rsid w:val="00BD772E"/>
    <w:rsid w:val="00BD7A6C"/>
    <w:rsid w:val="00BE0216"/>
    <w:rsid w:val="00BE2E67"/>
    <w:rsid w:val="00BE34E9"/>
    <w:rsid w:val="00BE67B8"/>
    <w:rsid w:val="00BE6C4E"/>
    <w:rsid w:val="00BF0D69"/>
    <w:rsid w:val="00BF0D8B"/>
    <w:rsid w:val="00BF18C2"/>
    <w:rsid w:val="00BF1BB8"/>
    <w:rsid w:val="00BF2ABD"/>
    <w:rsid w:val="00BF4D0F"/>
    <w:rsid w:val="00BF5D36"/>
    <w:rsid w:val="00BF634D"/>
    <w:rsid w:val="00BF674A"/>
    <w:rsid w:val="00BF6D91"/>
    <w:rsid w:val="00C03B65"/>
    <w:rsid w:val="00C05C79"/>
    <w:rsid w:val="00C114D1"/>
    <w:rsid w:val="00C158A5"/>
    <w:rsid w:val="00C17E06"/>
    <w:rsid w:val="00C2055B"/>
    <w:rsid w:val="00C22FB2"/>
    <w:rsid w:val="00C24005"/>
    <w:rsid w:val="00C3103A"/>
    <w:rsid w:val="00C32FDD"/>
    <w:rsid w:val="00C33E0A"/>
    <w:rsid w:val="00C35FF8"/>
    <w:rsid w:val="00C4031B"/>
    <w:rsid w:val="00C47DEB"/>
    <w:rsid w:val="00C50699"/>
    <w:rsid w:val="00C52CDD"/>
    <w:rsid w:val="00C5348C"/>
    <w:rsid w:val="00C5463A"/>
    <w:rsid w:val="00C54974"/>
    <w:rsid w:val="00C54B21"/>
    <w:rsid w:val="00C54C63"/>
    <w:rsid w:val="00C61599"/>
    <w:rsid w:val="00C632D2"/>
    <w:rsid w:val="00C63D4E"/>
    <w:rsid w:val="00C64601"/>
    <w:rsid w:val="00C6526A"/>
    <w:rsid w:val="00C659FC"/>
    <w:rsid w:val="00C67A6E"/>
    <w:rsid w:val="00C71133"/>
    <w:rsid w:val="00C725B7"/>
    <w:rsid w:val="00C74505"/>
    <w:rsid w:val="00C753A8"/>
    <w:rsid w:val="00C77B09"/>
    <w:rsid w:val="00C80525"/>
    <w:rsid w:val="00C81767"/>
    <w:rsid w:val="00C82911"/>
    <w:rsid w:val="00C8468C"/>
    <w:rsid w:val="00C86538"/>
    <w:rsid w:val="00C86942"/>
    <w:rsid w:val="00C92FB4"/>
    <w:rsid w:val="00C970E9"/>
    <w:rsid w:val="00C97D42"/>
    <w:rsid w:val="00CA4B03"/>
    <w:rsid w:val="00CA50CE"/>
    <w:rsid w:val="00CA54CE"/>
    <w:rsid w:val="00CA6F58"/>
    <w:rsid w:val="00CB1FF1"/>
    <w:rsid w:val="00CB5EC9"/>
    <w:rsid w:val="00CB6FA7"/>
    <w:rsid w:val="00CC107E"/>
    <w:rsid w:val="00CC1F06"/>
    <w:rsid w:val="00CC26C1"/>
    <w:rsid w:val="00CC49DF"/>
    <w:rsid w:val="00CC5BF3"/>
    <w:rsid w:val="00CC61DC"/>
    <w:rsid w:val="00CD2693"/>
    <w:rsid w:val="00CD34EC"/>
    <w:rsid w:val="00CD3571"/>
    <w:rsid w:val="00CD3989"/>
    <w:rsid w:val="00CD3DD3"/>
    <w:rsid w:val="00CD5E94"/>
    <w:rsid w:val="00CD729C"/>
    <w:rsid w:val="00CE328C"/>
    <w:rsid w:val="00CE71F2"/>
    <w:rsid w:val="00CF1407"/>
    <w:rsid w:val="00CF1E54"/>
    <w:rsid w:val="00CF38D1"/>
    <w:rsid w:val="00CF3CBD"/>
    <w:rsid w:val="00D015B2"/>
    <w:rsid w:val="00D140A9"/>
    <w:rsid w:val="00D17A89"/>
    <w:rsid w:val="00D17D24"/>
    <w:rsid w:val="00D2223C"/>
    <w:rsid w:val="00D22CE3"/>
    <w:rsid w:val="00D26588"/>
    <w:rsid w:val="00D323D3"/>
    <w:rsid w:val="00D32714"/>
    <w:rsid w:val="00D40F4D"/>
    <w:rsid w:val="00D5251B"/>
    <w:rsid w:val="00D52BDE"/>
    <w:rsid w:val="00D57C40"/>
    <w:rsid w:val="00D60958"/>
    <w:rsid w:val="00D72129"/>
    <w:rsid w:val="00D73605"/>
    <w:rsid w:val="00D75115"/>
    <w:rsid w:val="00D76494"/>
    <w:rsid w:val="00D830F3"/>
    <w:rsid w:val="00D83DF6"/>
    <w:rsid w:val="00D85031"/>
    <w:rsid w:val="00D86F07"/>
    <w:rsid w:val="00D90DCB"/>
    <w:rsid w:val="00D92346"/>
    <w:rsid w:val="00D9298B"/>
    <w:rsid w:val="00DA034F"/>
    <w:rsid w:val="00DA0E2A"/>
    <w:rsid w:val="00DA13E8"/>
    <w:rsid w:val="00DA3138"/>
    <w:rsid w:val="00DA34CC"/>
    <w:rsid w:val="00DA38DB"/>
    <w:rsid w:val="00DA5B70"/>
    <w:rsid w:val="00DA6054"/>
    <w:rsid w:val="00DB0E05"/>
    <w:rsid w:val="00DC0203"/>
    <w:rsid w:val="00DC0F10"/>
    <w:rsid w:val="00DC1B96"/>
    <w:rsid w:val="00DD3BC1"/>
    <w:rsid w:val="00DD480C"/>
    <w:rsid w:val="00DE09F5"/>
    <w:rsid w:val="00DE268F"/>
    <w:rsid w:val="00DE3798"/>
    <w:rsid w:val="00DE40C7"/>
    <w:rsid w:val="00DE4481"/>
    <w:rsid w:val="00DE478F"/>
    <w:rsid w:val="00DE567E"/>
    <w:rsid w:val="00DE5C71"/>
    <w:rsid w:val="00DE6923"/>
    <w:rsid w:val="00DF5E0A"/>
    <w:rsid w:val="00E00739"/>
    <w:rsid w:val="00E01D45"/>
    <w:rsid w:val="00E02D4C"/>
    <w:rsid w:val="00E05802"/>
    <w:rsid w:val="00E07FEA"/>
    <w:rsid w:val="00E11756"/>
    <w:rsid w:val="00E1296A"/>
    <w:rsid w:val="00E14A81"/>
    <w:rsid w:val="00E14FB4"/>
    <w:rsid w:val="00E16294"/>
    <w:rsid w:val="00E201E6"/>
    <w:rsid w:val="00E20249"/>
    <w:rsid w:val="00E23E4D"/>
    <w:rsid w:val="00E24F95"/>
    <w:rsid w:val="00E26248"/>
    <w:rsid w:val="00E264C4"/>
    <w:rsid w:val="00E265F7"/>
    <w:rsid w:val="00E27F10"/>
    <w:rsid w:val="00E30EA0"/>
    <w:rsid w:val="00E312C0"/>
    <w:rsid w:val="00E31A44"/>
    <w:rsid w:val="00E31D28"/>
    <w:rsid w:val="00E324B3"/>
    <w:rsid w:val="00E32916"/>
    <w:rsid w:val="00E32FC6"/>
    <w:rsid w:val="00E342EC"/>
    <w:rsid w:val="00E37587"/>
    <w:rsid w:val="00E43064"/>
    <w:rsid w:val="00E43294"/>
    <w:rsid w:val="00E45C87"/>
    <w:rsid w:val="00E52A40"/>
    <w:rsid w:val="00E53DF0"/>
    <w:rsid w:val="00E555D9"/>
    <w:rsid w:val="00E571DC"/>
    <w:rsid w:val="00E7022C"/>
    <w:rsid w:val="00E77B23"/>
    <w:rsid w:val="00E90AF2"/>
    <w:rsid w:val="00E9208F"/>
    <w:rsid w:val="00E930B9"/>
    <w:rsid w:val="00E93422"/>
    <w:rsid w:val="00E94CD8"/>
    <w:rsid w:val="00E95B84"/>
    <w:rsid w:val="00E96220"/>
    <w:rsid w:val="00E970D7"/>
    <w:rsid w:val="00E97193"/>
    <w:rsid w:val="00EA5875"/>
    <w:rsid w:val="00EA624D"/>
    <w:rsid w:val="00EB0349"/>
    <w:rsid w:val="00EB08DD"/>
    <w:rsid w:val="00EB0ECE"/>
    <w:rsid w:val="00EB6380"/>
    <w:rsid w:val="00EC4811"/>
    <w:rsid w:val="00EC793D"/>
    <w:rsid w:val="00EC7CB0"/>
    <w:rsid w:val="00ED3C29"/>
    <w:rsid w:val="00ED6403"/>
    <w:rsid w:val="00ED6EFD"/>
    <w:rsid w:val="00ED747A"/>
    <w:rsid w:val="00EE28A6"/>
    <w:rsid w:val="00EE2AE4"/>
    <w:rsid w:val="00EE6B77"/>
    <w:rsid w:val="00EF70A0"/>
    <w:rsid w:val="00EF74A0"/>
    <w:rsid w:val="00EF7B54"/>
    <w:rsid w:val="00EF7F92"/>
    <w:rsid w:val="00F0113E"/>
    <w:rsid w:val="00F12FEC"/>
    <w:rsid w:val="00F144D2"/>
    <w:rsid w:val="00F200A1"/>
    <w:rsid w:val="00F24D33"/>
    <w:rsid w:val="00F27CD7"/>
    <w:rsid w:val="00F31929"/>
    <w:rsid w:val="00F31957"/>
    <w:rsid w:val="00F33868"/>
    <w:rsid w:val="00F34C53"/>
    <w:rsid w:val="00F35D2F"/>
    <w:rsid w:val="00F3640D"/>
    <w:rsid w:val="00F3759C"/>
    <w:rsid w:val="00F378C6"/>
    <w:rsid w:val="00F40C81"/>
    <w:rsid w:val="00F43BA5"/>
    <w:rsid w:val="00F44EAD"/>
    <w:rsid w:val="00F529C9"/>
    <w:rsid w:val="00F52B5D"/>
    <w:rsid w:val="00F54CE5"/>
    <w:rsid w:val="00F6140A"/>
    <w:rsid w:val="00F66EA0"/>
    <w:rsid w:val="00F702BE"/>
    <w:rsid w:val="00F77059"/>
    <w:rsid w:val="00F8548F"/>
    <w:rsid w:val="00F85D28"/>
    <w:rsid w:val="00F85ECC"/>
    <w:rsid w:val="00F862EB"/>
    <w:rsid w:val="00F879C2"/>
    <w:rsid w:val="00F911B3"/>
    <w:rsid w:val="00F91346"/>
    <w:rsid w:val="00F91C98"/>
    <w:rsid w:val="00F930CD"/>
    <w:rsid w:val="00F977E8"/>
    <w:rsid w:val="00FA42E0"/>
    <w:rsid w:val="00FA5099"/>
    <w:rsid w:val="00FA6B66"/>
    <w:rsid w:val="00FA7398"/>
    <w:rsid w:val="00FB0983"/>
    <w:rsid w:val="00FB25D2"/>
    <w:rsid w:val="00FC135B"/>
    <w:rsid w:val="00FC147F"/>
    <w:rsid w:val="00FC1870"/>
    <w:rsid w:val="00FC6091"/>
    <w:rsid w:val="00FD3B01"/>
    <w:rsid w:val="00FD61A3"/>
    <w:rsid w:val="00FD62A2"/>
    <w:rsid w:val="00FD72C9"/>
    <w:rsid w:val="00FD7D5D"/>
    <w:rsid w:val="00FE1598"/>
    <w:rsid w:val="00FE2B5B"/>
    <w:rsid w:val="00FE2F0F"/>
    <w:rsid w:val="00FE40B8"/>
    <w:rsid w:val="00FE4950"/>
    <w:rsid w:val="00FE50CF"/>
    <w:rsid w:val="00FE6B0C"/>
    <w:rsid w:val="00FE79F8"/>
    <w:rsid w:val="00FF2A58"/>
    <w:rsid w:val="00FF4764"/>
    <w:rsid w:val="00FF5A46"/>
    <w:rsid w:val="00FF66B1"/>
    <w:rsid w:val="00FF6CD8"/>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30D43"/>
  <w15:chartTrackingRefBased/>
  <w15:docId w15:val="{41767658-A70B-45E3-92C8-72EE1141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1C98"/>
    <w:pPr>
      <w:widowControl w:val="0"/>
      <w:spacing w:after="200" w:line="240" w:lineRule="auto"/>
      <w:jc w:val="both"/>
    </w:pPr>
    <w:rPr>
      <w:rFonts w:ascii="Calibri" w:eastAsia="Calibri" w:hAnsi="Calibri" w:cs="Cordia New"/>
      <w:sz w:val="20"/>
      <w:lang w:val="en-US"/>
    </w:rPr>
  </w:style>
  <w:style w:type="paragraph" w:styleId="Heading1">
    <w:name w:val="heading 1"/>
    <w:basedOn w:val="Normal"/>
    <w:next w:val="Normal"/>
    <w:link w:val="Heading1Char"/>
    <w:uiPriority w:val="9"/>
    <w:qFormat/>
    <w:rsid w:val="00755F4A"/>
    <w:pPr>
      <w:keepNext/>
      <w:keepLines/>
      <w:pBdr>
        <w:bottom w:val="single" w:sz="4" w:space="1" w:color="auto"/>
      </w:pBdr>
      <w:spacing w:before="240" w:after="0"/>
      <w:jc w:val="center"/>
      <w:outlineLvl w:val="0"/>
    </w:pPr>
    <w:rPr>
      <w:rFonts w:asciiTheme="minorHAnsi" w:eastAsiaTheme="majorEastAsia" w:hAnsiTheme="minorHAnsi" w:cstheme="majorBidi"/>
      <w:b/>
      <w:bCs/>
      <w:sz w:val="28"/>
      <w:szCs w:val="28"/>
    </w:rPr>
  </w:style>
  <w:style w:type="paragraph" w:styleId="Heading2">
    <w:name w:val="heading 2"/>
    <w:basedOn w:val="Heading1"/>
    <w:next w:val="Normal"/>
    <w:link w:val="Heading2Char"/>
    <w:uiPriority w:val="9"/>
    <w:unhideWhenUsed/>
    <w:qFormat/>
    <w:rsid w:val="00755F4A"/>
    <w:pPr>
      <w:pBdr>
        <w:bottom w:val="none" w:sz="0" w:space="0" w:color="auto"/>
      </w:pBdr>
      <w:jc w:val="left"/>
      <w:outlineLvl w:val="1"/>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E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EA0"/>
    <w:rPr>
      <w:rFonts w:ascii="Segoe UI" w:hAnsi="Segoe UI" w:cs="Segoe UI"/>
      <w:sz w:val="18"/>
      <w:szCs w:val="18"/>
    </w:rPr>
  </w:style>
  <w:style w:type="paragraph" w:styleId="Title">
    <w:name w:val="Title"/>
    <w:basedOn w:val="Normal"/>
    <w:next w:val="Normal"/>
    <w:link w:val="TitleChar"/>
    <w:uiPriority w:val="10"/>
    <w:qFormat/>
    <w:rsid w:val="00DC0203"/>
    <w:pPr>
      <w:pBdr>
        <w:bottom w:val="single" w:sz="4" w:space="1" w:color="auto"/>
      </w:pBdr>
      <w:spacing w:after="0"/>
      <w:contextualSpacing/>
      <w:jc w:val="center"/>
    </w:pPr>
    <w:rPr>
      <w:rFonts w:asciiTheme="minorHAnsi" w:eastAsiaTheme="majorEastAsia" w:hAnsiTheme="minorHAnsi" w:cstheme="majorBidi"/>
      <w:b/>
      <w:bCs/>
      <w:spacing w:val="-10"/>
      <w:kern w:val="28"/>
      <w:sz w:val="32"/>
      <w:szCs w:val="32"/>
    </w:rPr>
  </w:style>
  <w:style w:type="character" w:customStyle="1" w:styleId="TitleChar">
    <w:name w:val="Title Char"/>
    <w:basedOn w:val="DefaultParagraphFont"/>
    <w:link w:val="Title"/>
    <w:uiPriority w:val="10"/>
    <w:rsid w:val="00DC0203"/>
    <w:rPr>
      <w:rFonts w:eastAsiaTheme="majorEastAsia" w:cstheme="majorBidi"/>
      <w:b/>
      <w:bCs/>
      <w:spacing w:val="-10"/>
      <w:kern w:val="28"/>
      <w:sz w:val="32"/>
      <w:szCs w:val="32"/>
      <w:lang w:val="en-US"/>
    </w:rPr>
  </w:style>
  <w:style w:type="character" w:customStyle="1" w:styleId="Heading1Char">
    <w:name w:val="Heading 1 Char"/>
    <w:basedOn w:val="DefaultParagraphFont"/>
    <w:link w:val="Heading1"/>
    <w:uiPriority w:val="9"/>
    <w:rsid w:val="00755F4A"/>
    <w:rPr>
      <w:rFonts w:eastAsiaTheme="majorEastAsia" w:cstheme="majorBidi"/>
      <w:b/>
      <w:bCs/>
      <w:sz w:val="28"/>
      <w:szCs w:val="28"/>
      <w:lang w:val="en-US"/>
    </w:rPr>
  </w:style>
  <w:style w:type="paragraph" w:styleId="ListParagraph">
    <w:name w:val="List Paragraph"/>
    <w:basedOn w:val="Normal"/>
    <w:uiPriority w:val="34"/>
    <w:qFormat/>
    <w:rsid w:val="00DC0203"/>
    <w:pPr>
      <w:ind w:left="720"/>
      <w:contextualSpacing/>
    </w:pPr>
  </w:style>
  <w:style w:type="character" w:customStyle="1" w:styleId="Heading2Char">
    <w:name w:val="Heading 2 Char"/>
    <w:basedOn w:val="DefaultParagraphFont"/>
    <w:link w:val="Heading2"/>
    <w:uiPriority w:val="9"/>
    <w:rsid w:val="00755F4A"/>
    <w:rPr>
      <w:rFonts w:eastAsiaTheme="majorEastAsia" w:cstheme="majorBidi"/>
      <w:b/>
      <w:bCs/>
      <w:sz w:val="24"/>
      <w:szCs w:val="24"/>
      <w:lang w:val="en-US"/>
    </w:rPr>
  </w:style>
  <w:style w:type="paragraph" w:styleId="FootnoteText">
    <w:name w:val="footnote text"/>
    <w:aliases w:val="single space,Fußnotentextf,FOOTNOTES,fn Car Car,fn Car Car Car,fn Car,Footnote,12pt,fn,ALTS FOOTNOTE,Fodnotetekst Tegn,Fodnotetekst Tegn Char,footnote text Char Char Char,Geneva 9,Font: Geneva 9,Boston 10,f,ADB,WB-Fußnotentext,Fußnote,Cha"/>
    <w:basedOn w:val="Normal"/>
    <w:link w:val="FootnoteTextChar"/>
    <w:uiPriority w:val="99"/>
    <w:unhideWhenUsed/>
    <w:qFormat/>
    <w:rsid w:val="002829A0"/>
    <w:pPr>
      <w:spacing w:after="0"/>
      <w:ind w:left="90" w:hanging="90"/>
    </w:pPr>
    <w:rPr>
      <w:sz w:val="18"/>
      <w:szCs w:val="18"/>
    </w:rPr>
  </w:style>
  <w:style w:type="character" w:customStyle="1" w:styleId="FootnoteTextChar">
    <w:name w:val="Footnote Text Char"/>
    <w:aliases w:val="single space Char,Fußnotentextf Char,FOOTNOTES Char,fn Car Car Char,fn Car Car Car Char,fn Car Char,Footnote Char,12pt Char,fn Char,ALTS FOOTNOTE Char,Fodnotetekst Tegn Char1,Fodnotetekst Tegn Char Char,Geneva 9 Char,Boston 10 Char"/>
    <w:basedOn w:val="DefaultParagraphFont"/>
    <w:link w:val="FootnoteText"/>
    <w:uiPriority w:val="99"/>
    <w:qFormat/>
    <w:rsid w:val="002829A0"/>
    <w:rPr>
      <w:rFonts w:ascii="Calibri" w:eastAsia="Calibri" w:hAnsi="Calibri" w:cs="Cordia New"/>
      <w:sz w:val="18"/>
      <w:szCs w:val="18"/>
      <w:lang w:val="en-US"/>
    </w:rPr>
  </w:style>
  <w:style w:type="character" w:styleId="FootnoteReference">
    <w:name w:val="footnote reference"/>
    <w:aliases w:val="ftref,Error-Fußnotenzeichen5,Error-Fußnotenzeichen6,Error-Fußnotenzeichen3,Footnote Reference1,BVI fnr,Footnote Reference Number,Footnote Reference_LVL6,Footnote Reference_LVL61,Footnote Reference_LVL62,Footnote Reference_LVL63,fr,Re"/>
    <w:basedOn w:val="DefaultParagraphFont"/>
    <w:link w:val="CarattereCarattereCharCharCharCharCharCharZchn"/>
    <w:uiPriority w:val="99"/>
    <w:unhideWhenUsed/>
    <w:qFormat/>
    <w:rsid w:val="006809C6"/>
    <w:rPr>
      <w:vertAlign w:val="superscript"/>
    </w:rPr>
  </w:style>
  <w:style w:type="character" w:styleId="Hyperlink">
    <w:name w:val="Hyperlink"/>
    <w:basedOn w:val="DefaultParagraphFont"/>
    <w:uiPriority w:val="99"/>
    <w:unhideWhenUsed/>
    <w:qFormat/>
    <w:rsid w:val="009546B2"/>
    <w:rPr>
      <w:color w:val="0563C1" w:themeColor="hyperlink"/>
      <w:u w:val="single"/>
    </w:rPr>
  </w:style>
  <w:style w:type="character" w:customStyle="1" w:styleId="UnresolvedMention1">
    <w:name w:val="Unresolved Mention1"/>
    <w:basedOn w:val="DefaultParagraphFont"/>
    <w:uiPriority w:val="99"/>
    <w:semiHidden/>
    <w:unhideWhenUsed/>
    <w:rsid w:val="009546B2"/>
    <w:rPr>
      <w:color w:val="605E5C"/>
      <w:shd w:val="clear" w:color="auto" w:fill="E1DFDD"/>
    </w:rPr>
  </w:style>
  <w:style w:type="paragraph" w:styleId="NormalWeb">
    <w:name w:val="Normal (Web)"/>
    <w:basedOn w:val="Normal"/>
    <w:uiPriority w:val="99"/>
    <w:unhideWhenUsed/>
    <w:rsid w:val="009A7F92"/>
    <w:pPr>
      <w:widowControl/>
      <w:spacing w:before="100" w:beforeAutospacing="1" w:after="100" w:afterAutospacing="1"/>
      <w:jc w:val="left"/>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3629F5"/>
    <w:rPr>
      <w:color w:val="954F72" w:themeColor="followedHyperlink"/>
      <w:u w:val="single"/>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rsid w:val="007F4FE3"/>
    <w:pPr>
      <w:widowControl/>
      <w:spacing w:after="160" w:line="240" w:lineRule="exact"/>
    </w:pPr>
    <w:rPr>
      <w:rFonts w:asciiTheme="minorHAnsi" w:eastAsiaTheme="minorHAnsi" w:hAnsiTheme="minorHAnsi" w:cstheme="minorBidi"/>
      <w:sz w:val="22"/>
      <w:vertAlign w:val="superscript"/>
      <w:lang w:val="en-GB"/>
    </w:rPr>
  </w:style>
  <w:style w:type="character" w:customStyle="1" w:styleId="normaltextrun">
    <w:name w:val="normaltextrun"/>
    <w:rsid w:val="007F4FE3"/>
  </w:style>
  <w:style w:type="character" w:customStyle="1" w:styleId="eop">
    <w:name w:val="eop"/>
    <w:rsid w:val="007F4FE3"/>
  </w:style>
  <w:style w:type="character" w:styleId="EndnoteReference">
    <w:name w:val="endnote reference"/>
    <w:basedOn w:val="DefaultParagraphFont"/>
    <w:uiPriority w:val="99"/>
    <w:semiHidden/>
    <w:unhideWhenUsed/>
    <w:rsid w:val="009A4990"/>
    <w:rPr>
      <w:vertAlign w:val="superscript"/>
    </w:rPr>
  </w:style>
  <w:style w:type="paragraph" w:styleId="EndnoteText">
    <w:name w:val="endnote text"/>
    <w:basedOn w:val="Normal"/>
    <w:link w:val="EndnoteTextChar"/>
    <w:uiPriority w:val="99"/>
    <w:unhideWhenUsed/>
    <w:rsid w:val="00F34C53"/>
    <w:pPr>
      <w:spacing w:after="0"/>
    </w:pPr>
    <w:rPr>
      <w:szCs w:val="20"/>
    </w:rPr>
  </w:style>
  <w:style w:type="character" w:customStyle="1" w:styleId="EndnoteTextChar">
    <w:name w:val="Endnote Text Char"/>
    <w:basedOn w:val="DefaultParagraphFont"/>
    <w:link w:val="EndnoteText"/>
    <w:uiPriority w:val="99"/>
    <w:rsid w:val="00F34C53"/>
    <w:rPr>
      <w:rFonts w:ascii="Calibri" w:eastAsia="Calibri" w:hAnsi="Calibri" w:cs="Cordia New"/>
      <w:sz w:val="20"/>
      <w:szCs w:val="20"/>
      <w:lang w:val="en-US"/>
    </w:rPr>
  </w:style>
  <w:style w:type="paragraph" w:styleId="Header">
    <w:name w:val="header"/>
    <w:basedOn w:val="Normal"/>
    <w:link w:val="HeaderChar"/>
    <w:uiPriority w:val="99"/>
    <w:unhideWhenUsed/>
    <w:rsid w:val="00243037"/>
    <w:pPr>
      <w:tabs>
        <w:tab w:val="center" w:pos="4513"/>
        <w:tab w:val="right" w:pos="9026"/>
      </w:tabs>
      <w:spacing w:after="0"/>
    </w:pPr>
  </w:style>
  <w:style w:type="character" w:customStyle="1" w:styleId="HeaderChar">
    <w:name w:val="Header Char"/>
    <w:basedOn w:val="DefaultParagraphFont"/>
    <w:link w:val="Header"/>
    <w:uiPriority w:val="99"/>
    <w:rsid w:val="00243037"/>
    <w:rPr>
      <w:rFonts w:ascii="Calibri" w:eastAsia="Calibri" w:hAnsi="Calibri" w:cs="Cordia New"/>
      <w:sz w:val="21"/>
      <w:lang w:val="en-US"/>
    </w:rPr>
  </w:style>
  <w:style w:type="paragraph" w:styleId="Footer">
    <w:name w:val="footer"/>
    <w:basedOn w:val="Normal"/>
    <w:link w:val="FooterChar"/>
    <w:uiPriority w:val="99"/>
    <w:unhideWhenUsed/>
    <w:rsid w:val="00243037"/>
    <w:pPr>
      <w:tabs>
        <w:tab w:val="center" w:pos="4513"/>
        <w:tab w:val="right" w:pos="9026"/>
      </w:tabs>
      <w:spacing w:after="0"/>
    </w:pPr>
  </w:style>
  <w:style w:type="character" w:customStyle="1" w:styleId="FooterChar">
    <w:name w:val="Footer Char"/>
    <w:basedOn w:val="DefaultParagraphFont"/>
    <w:link w:val="Footer"/>
    <w:uiPriority w:val="99"/>
    <w:rsid w:val="00243037"/>
    <w:rPr>
      <w:rFonts w:ascii="Calibri" w:eastAsia="Calibri" w:hAnsi="Calibri" w:cs="Cordia New"/>
      <w:sz w:val="21"/>
      <w:lang w:val="en-US"/>
    </w:rPr>
  </w:style>
  <w:style w:type="character" w:styleId="CommentReference">
    <w:name w:val="annotation reference"/>
    <w:basedOn w:val="DefaultParagraphFont"/>
    <w:uiPriority w:val="99"/>
    <w:semiHidden/>
    <w:unhideWhenUsed/>
    <w:rsid w:val="006527C5"/>
    <w:rPr>
      <w:sz w:val="16"/>
      <w:szCs w:val="16"/>
    </w:rPr>
  </w:style>
  <w:style w:type="paragraph" w:styleId="CommentText">
    <w:name w:val="annotation text"/>
    <w:basedOn w:val="Normal"/>
    <w:link w:val="CommentTextChar"/>
    <w:uiPriority w:val="99"/>
    <w:semiHidden/>
    <w:unhideWhenUsed/>
    <w:rsid w:val="006527C5"/>
    <w:rPr>
      <w:szCs w:val="20"/>
    </w:rPr>
  </w:style>
  <w:style w:type="character" w:customStyle="1" w:styleId="CommentTextChar">
    <w:name w:val="Comment Text Char"/>
    <w:basedOn w:val="DefaultParagraphFont"/>
    <w:link w:val="CommentText"/>
    <w:uiPriority w:val="99"/>
    <w:semiHidden/>
    <w:rsid w:val="006527C5"/>
    <w:rPr>
      <w:rFonts w:ascii="Calibri" w:eastAsia="Calibri" w:hAnsi="Calibri" w:cs="Cordia New"/>
      <w:sz w:val="20"/>
      <w:szCs w:val="20"/>
      <w:lang w:val="en-US"/>
    </w:rPr>
  </w:style>
  <w:style w:type="paragraph" w:styleId="CommentSubject">
    <w:name w:val="annotation subject"/>
    <w:basedOn w:val="CommentText"/>
    <w:next w:val="CommentText"/>
    <w:link w:val="CommentSubjectChar"/>
    <w:uiPriority w:val="99"/>
    <w:semiHidden/>
    <w:unhideWhenUsed/>
    <w:rsid w:val="006527C5"/>
    <w:rPr>
      <w:b/>
      <w:bCs/>
    </w:rPr>
  </w:style>
  <w:style w:type="character" w:customStyle="1" w:styleId="CommentSubjectChar">
    <w:name w:val="Comment Subject Char"/>
    <w:basedOn w:val="CommentTextChar"/>
    <w:link w:val="CommentSubject"/>
    <w:uiPriority w:val="99"/>
    <w:semiHidden/>
    <w:rsid w:val="006527C5"/>
    <w:rPr>
      <w:rFonts w:ascii="Calibri" w:eastAsia="Calibri" w:hAnsi="Calibri" w:cs="Cordia New"/>
      <w:b/>
      <w:bCs/>
      <w:sz w:val="20"/>
      <w:szCs w:val="20"/>
      <w:lang w:val="en-US"/>
    </w:rPr>
  </w:style>
  <w:style w:type="character" w:customStyle="1" w:styleId="UnresolvedMention2">
    <w:name w:val="Unresolved Mention2"/>
    <w:basedOn w:val="DefaultParagraphFont"/>
    <w:uiPriority w:val="99"/>
    <w:semiHidden/>
    <w:unhideWhenUsed/>
    <w:rsid w:val="00FF2A58"/>
    <w:rPr>
      <w:color w:val="605E5C"/>
      <w:shd w:val="clear" w:color="auto" w:fill="E1DFDD"/>
    </w:rPr>
  </w:style>
  <w:style w:type="character" w:customStyle="1" w:styleId="UnresolvedMention3">
    <w:name w:val="Unresolved Mention3"/>
    <w:basedOn w:val="DefaultParagraphFont"/>
    <w:uiPriority w:val="99"/>
    <w:semiHidden/>
    <w:unhideWhenUsed/>
    <w:rsid w:val="005E7C94"/>
    <w:rPr>
      <w:color w:val="605E5C"/>
      <w:shd w:val="clear" w:color="auto" w:fill="E1DFDD"/>
    </w:rPr>
  </w:style>
  <w:style w:type="paragraph" w:styleId="Revision">
    <w:name w:val="Revision"/>
    <w:hidden/>
    <w:uiPriority w:val="99"/>
    <w:semiHidden/>
    <w:rsid w:val="00100E1A"/>
    <w:pPr>
      <w:spacing w:after="0" w:line="240" w:lineRule="auto"/>
    </w:pPr>
    <w:rPr>
      <w:rFonts w:ascii="Calibri" w:eastAsia="Calibri" w:hAnsi="Calibri" w:cs="Cordia New"/>
      <w:sz w:val="20"/>
      <w:lang w:val="en-US"/>
    </w:rPr>
  </w:style>
  <w:style w:type="character" w:styleId="UnresolvedMention">
    <w:name w:val="Unresolved Mention"/>
    <w:basedOn w:val="DefaultParagraphFont"/>
    <w:uiPriority w:val="99"/>
    <w:semiHidden/>
    <w:unhideWhenUsed/>
    <w:rsid w:val="00DC0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3512">
      <w:bodyDiv w:val="1"/>
      <w:marLeft w:val="0"/>
      <w:marRight w:val="0"/>
      <w:marTop w:val="0"/>
      <w:marBottom w:val="0"/>
      <w:divBdr>
        <w:top w:val="none" w:sz="0" w:space="0" w:color="auto"/>
        <w:left w:val="none" w:sz="0" w:space="0" w:color="auto"/>
        <w:bottom w:val="none" w:sz="0" w:space="0" w:color="auto"/>
        <w:right w:val="none" w:sz="0" w:space="0" w:color="auto"/>
      </w:divBdr>
    </w:div>
    <w:div w:id="181166546">
      <w:bodyDiv w:val="1"/>
      <w:marLeft w:val="0"/>
      <w:marRight w:val="0"/>
      <w:marTop w:val="0"/>
      <w:marBottom w:val="0"/>
      <w:divBdr>
        <w:top w:val="none" w:sz="0" w:space="0" w:color="auto"/>
        <w:left w:val="none" w:sz="0" w:space="0" w:color="auto"/>
        <w:bottom w:val="none" w:sz="0" w:space="0" w:color="auto"/>
        <w:right w:val="none" w:sz="0" w:space="0" w:color="auto"/>
      </w:divBdr>
    </w:div>
    <w:div w:id="287204079">
      <w:bodyDiv w:val="1"/>
      <w:marLeft w:val="0"/>
      <w:marRight w:val="0"/>
      <w:marTop w:val="0"/>
      <w:marBottom w:val="0"/>
      <w:divBdr>
        <w:top w:val="none" w:sz="0" w:space="0" w:color="auto"/>
        <w:left w:val="none" w:sz="0" w:space="0" w:color="auto"/>
        <w:bottom w:val="none" w:sz="0" w:space="0" w:color="auto"/>
        <w:right w:val="none" w:sz="0" w:space="0" w:color="auto"/>
      </w:divBdr>
    </w:div>
    <w:div w:id="296254694">
      <w:bodyDiv w:val="1"/>
      <w:marLeft w:val="0"/>
      <w:marRight w:val="0"/>
      <w:marTop w:val="0"/>
      <w:marBottom w:val="0"/>
      <w:divBdr>
        <w:top w:val="none" w:sz="0" w:space="0" w:color="auto"/>
        <w:left w:val="none" w:sz="0" w:space="0" w:color="auto"/>
        <w:bottom w:val="none" w:sz="0" w:space="0" w:color="auto"/>
        <w:right w:val="none" w:sz="0" w:space="0" w:color="auto"/>
      </w:divBdr>
    </w:div>
    <w:div w:id="314535933">
      <w:bodyDiv w:val="1"/>
      <w:marLeft w:val="0"/>
      <w:marRight w:val="0"/>
      <w:marTop w:val="0"/>
      <w:marBottom w:val="0"/>
      <w:divBdr>
        <w:top w:val="none" w:sz="0" w:space="0" w:color="auto"/>
        <w:left w:val="none" w:sz="0" w:space="0" w:color="auto"/>
        <w:bottom w:val="none" w:sz="0" w:space="0" w:color="auto"/>
        <w:right w:val="none" w:sz="0" w:space="0" w:color="auto"/>
      </w:divBdr>
    </w:div>
    <w:div w:id="340932480">
      <w:bodyDiv w:val="1"/>
      <w:marLeft w:val="0"/>
      <w:marRight w:val="0"/>
      <w:marTop w:val="0"/>
      <w:marBottom w:val="0"/>
      <w:divBdr>
        <w:top w:val="none" w:sz="0" w:space="0" w:color="auto"/>
        <w:left w:val="none" w:sz="0" w:space="0" w:color="auto"/>
        <w:bottom w:val="none" w:sz="0" w:space="0" w:color="auto"/>
        <w:right w:val="none" w:sz="0" w:space="0" w:color="auto"/>
      </w:divBdr>
    </w:div>
    <w:div w:id="555312409">
      <w:bodyDiv w:val="1"/>
      <w:marLeft w:val="0"/>
      <w:marRight w:val="0"/>
      <w:marTop w:val="0"/>
      <w:marBottom w:val="0"/>
      <w:divBdr>
        <w:top w:val="none" w:sz="0" w:space="0" w:color="auto"/>
        <w:left w:val="none" w:sz="0" w:space="0" w:color="auto"/>
        <w:bottom w:val="none" w:sz="0" w:space="0" w:color="auto"/>
        <w:right w:val="none" w:sz="0" w:space="0" w:color="auto"/>
      </w:divBdr>
    </w:div>
    <w:div w:id="642924427">
      <w:bodyDiv w:val="1"/>
      <w:marLeft w:val="0"/>
      <w:marRight w:val="0"/>
      <w:marTop w:val="0"/>
      <w:marBottom w:val="0"/>
      <w:divBdr>
        <w:top w:val="none" w:sz="0" w:space="0" w:color="auto"/>
        <w:left w:val="none" w:sz="0" w:space="0" w:color="auto"/>
        <w:bottom w:val="none" w:sz="0" w:space="0" w:color="auto"/>
        <w:right w:val="none" w:sz="0" w:space="0" w:color="auto"/>
      </w:divBdr>
    </w:div>
    <w:div w:id="685441657">
      <w:bodyDiv w:val="1"/>
      <w:marLeft w:val="0"/>
      <w:marRight w:val="0"/>
      <w:marTop w:val="0"/>
      <w:marBottom w:val="0"/>
      <w:divBdr>
        <w:top w:val="none" w:sz="0" w:space="0" w:color="auto"/>
        <w:left w:val="none" w:sz="0" w:space="0" w:color="auto"/>
        <w:bottom w:val="none" w:sz="0" w:space="0" w:color="auto"/>
        <w:right w:val="none" w:sz="0" w:space="0" w:color="auto"/>
      </w:divBdr>
    </w:div>
    <w:div w:id="737437974">
      <w:bodyDiv w:val="1"/>
      <w:marLeft w:val="0"/>
      <w:marRight w:val="0"/>
      <w:marTop w:val="0"/>
      <w:marBottom w:val="0"/>
      <w:divBdr>
        <w:top w:val="none" w:sz="0" w:space="0" w:color="auto"/>
        <w:left w:val="none" w:sz="0" w:space="0" w:color="auto"/>
        <w:bottom w:val="none" w:sz="0" w:space="0" w:color="auto"/>
        <w:right w:val="none" w:sz="0" w:space="0" w:color="auto"/>
      </w:divBdr>
    </w:div>
    <w:div w:id="780222324">
      <w:bodyDiv w:val="1"/>
      <w:marLeft w:val="0"/>
      <w:marRight w:val="0"/>
      <w:marTop w:val="0"/>
      <w:marBottom w:val="0"/>
      <w:divBdr>
        <w:top w:val="none" w:sz="0" w:space="0" w:color="auto"/>
        <w:left w:val="none" w:sz="0" w:space="0" w:color="auto"/>
        <w:bottom w:val="none" w:sz="0" w:space="0" w:color="auto"/>
        <w:right w:val="none" w:sz="0" w:space="0" w:color="auto"/>
      </w:divBdr>
    </w:div>
    <w:div w:id="796490604">
      <w:bodyDiv w:val="1"/>
      <w:marLeft w:val="0"/>
      <w:marRight w:val="0"/>
      <w:marTop w:val="0"/>
      <w:marBottom w:val="0"/>
      <w:divBdr>
        <w:top w:val="none" w:sz="0" w:space="0" w:color="auto"/>
        <w:left w:val="none" w:sz="0" w:space="0" w:color="auto"/>
        <w:bottom w:val="none" w:sz="0" w:space="0" w:color="auto"/>
        <w:right w:val="none" w:sz="0" w:space="0" w:color="auto"/>
      </w:divBdr>
    </w:div>
    <w:div w:id="807280505">
      <w:bodyDiv w:val="1"/>
      <w:marLeft w:val="0"/>
      <w:marRight w:val="0"/>
      <w:marTop w:val="0"/>
      <w:marBottom w:val="0"/>
      <w:divBdr>
        <w:top w:val="none" w:sz="0" w:space="0" w:color="auto"/>
        <w:left w:val="none" w:sz="0" w:space="0" w:color="auto"/>
        <w:bottom w:val="none" w:sz="0" w:space="0" w:color="auto"/>
        <w:right w:val="none" w:sz="0" w:space="0" w:color="auto"/>
      </w:divBdr>
    </w:div>
    <w:div w:id="808594862">
      <w:bodyDiv w:val="1"/>
      <w:marLeft w:val="0"/>
      <w:marRight w:val="0"/>
      <w:marTop w:val="0"/>
      <w:marBottom w:val="0"/>
      <w:divBdr>
        <w:top w:val="none" w:sz="0" w:space="0" w:color="auto"/>
        <w:left w:val="none" w:sz="0" w:space="0" w:color="auto"/>
        <w:bottom w:val="none" w:sz="0" w:space="0" w:color="auto"/>
        <w:right w:val="none" w:sz="0" w:space="0" w:color="auto"/>
      </w:divBdr>
    </w:div>
    <w:div w:id="1042824569">
      <w:bodyDiv w:val="1"/>
      <w:marLeft w:val="0"/>
      <w:marRight w:val="0"/>
      <w:marTop w:val="0"/>
      <w:marBottom w:val="0"/>
      <w:divBdr>
        <w:top w:val="none" w:sz="0" w:space="0" w:color="auto"/>
        <w:left w:val="none" w:sz="0" w:space="0" w:color="auto"/>
        <w:bottom w:val="none" w:sz="0" w:space="0" w:color="auto"/>
        <w:right w:val="none" w:sz="0" w:space="0" w:color="auto"/>
      </w:divBdr>
    </w:div>
    <w:div w:id="1174108702">
      <w:bodyDiv w:val="1"/>
      <w:marLeft w:val="0"/>
      <w:marRight w:val="0"/>
      <w:marTop w:val="0"/>
      <w:marBottom w:val="0"/>
      <w:divBdr>
        <w:top w:val="none" w:sz="0" w:space="0" w:color="auto"/>
        <w:left w:val="none" w:sz="0" w:space="0" w:color="auto"/>
        <w:bottom w:val="none" w:sz="0" w:space="0" w:color="auto"/>
        <w:right w:val="none" w:sz="0" w:space="0" w:color="auto"/>
      </w:divBdr>
    </w:div>
    <w:div w:id="1191839132">
      <w:bodyDiv w:val="1"/>
      <w:marLeft w:val="0"/>
      <w:marRight w:val="0"/>
      <w:marTop w:val="0"/>
      <w:marBottom w:val="0"/>
      <w:divBdr>
        <w:top w:val="none" w:sz="0" w:space="0" w:color="auto"/>
        <w:left w:val="none" w:sz="0" w:space="0" w:color="auto"/>
        <w:bottom w:val="none" w:sz="0" w:space="0" w:color="auto"/>
        <w:right w:val="none" w:sz="0" w:space="0" w:color="auto"/>
      </w:divBdr>
    </w:div>
    <w:div w:id="1194074855">
      <w:bodyDiv w:val="1"/>
      <w:marLeft w:val="0"/>
      <w:marRight w:val="0"/>
      <w:marTop w:val="0"/>
      <w:marBottom w:val="0"/>
      <w:divBdr>
        <w:top w:val="none" w:sz="0" w:space="0" w:color="auto"/>
        <w:left w:val="none" w:sz="0" w:space="0" w:color="auto"/>
        <w:bottom w:val="none" w:sz="0" w:space="0" w:color="auto"/>
        <w:right w:val="none" w:sz="0" w:space="0" w:color="auto"/>
      </w:divBdr>
    </w:div>
    <w:div w:id="1243686252">
      <w:bodyDiv w:val="1"/>
      <w:marLeft w:val="0"/>
      <w:marRight w:val="0"/>
      <w:marTop w:val="0"/>
      <w:marBottom w:val="0"/>
      <w:divBdr>
        <w:top w:val="none" w:sz="0" w:space="0" w:color="auto"/>
        <w:left w:val="none" w:sz="0" w:space="0" w:color="auto"/>
        <w:bottom w:val="none" w:sz="0" w:space="0" w:color="auto"/>
        <w:right w:val="none" w:sz="0" w:space="0" w:color="auto"/>
      </w:divBdr>
    </w:div>
    <w:div w:id="1350647101">
      <w:bodyDiv w:val="1"/>
      <w:marLeft w:val="0"/>
      <w:marRight w:val="0"/>
      <w:marTop w:val="0"/>
      <w:marBottom w:val="0"/>
      <w:divBdr>
        <w:top w:val="none" w:sz="0" w:space="0" w:color="auto"/>
        <w:left w:val="none" w:sz="0" w:space="0" w:color="auto"/>
        <w:bottom w:val="none" w:sz="0" w:space="0" w:color="auto"/>
        <w:right w:val="none" w:sz="0" w:space="0" w:color="auto"/>
      </w:divBdr>
    </w:div>
    <w:div w:id="1358460028">
      <w:bodyDiv w:val="1"/>
      <w:marLeft w:val="0"/>
      <w:marRight w:val="0"/>
      <w:marTop w:val="0"/>
      <w:marBottom w:val="0"/>
      <w:divBdr>
        <w:top w:val="none" w:sz="0" w:space="0" w:color="auto"/>
        <w:left w:val="none" w:sz="0" w:space="0" w:color="auto"/>
        <w:bottom w:val="none" w:sz="0" w:space="0" w:color="auto"/>
        <w:right w:val="none" w:sz="0" w:space="0" w:color="auto"/>
      </w:divBdr>
    </w:div>
    <w:div w:id="1405378669">
      <w:bodyDiv w:val="1"/>
      <w:marLeft w:val="0"/>
      <w:marRight w:val="0"/>
      <w:marTop w:val="0"/>
      <w:marBottom w:val="0"/>
      <w:divBdr>
        <w:top w:val="none" w:sz="0" w:space="0" w:color="auto"/>
        <w:left w:val="none" w:sz="0" w:space="0" w:color="auto"/>
        <w:bottom w:val="none" w:sz="0" w:space="0" w:color="auto"/>
        <w:right w:val="none" w:sz="0" w:space="0" w:color="auto"/>
      </w:divBdr>
    </w:div>
    <w:div w:id="1455128553">
      <w:bodyDiv w:val="1"/>
      <w:marLeft w:val="0"/>
      <w:marRight w:val="0"/>
      <w:marTop w:val="0"/>
      <w:marBottom w:val="0"/>
      <w:divBdr>
        <w:top w:val="none" w:sz="0" w:space="0" w:color="auto"/>
        <w:left w:val="none" w:sz="0" w:space="0" w:color="auto"/>
        <w:bottom w:val="none" w:sz="0" w:space="0" w:color="auto"/>
        <w:right w:val="none" w:sz="0" w:space="0" w:color="auto"/>
      </w:divBdr>
    </w:div>
    <w:div w:id="1517579862">
      <w:bodyDiv w:val="1"/>
      <w:marLeft w:val="0"/>
      <w:marRight w:val="0"/>
      <w:marTop w:val="0"/>
      <w:marBottom w:val="0"/>
      <w:divBdr>
        <w:top w:val="none" w:sz="0" w:space="0" w:color="auto"/>
        <w:left w:val="none" w:sz="0" w:space="0" w:color="auto"/>
        <w:bottom w:val="none" w:sz="0" w:space="0" w:color="auto"/>
        <w:right w:val="none" w:sz="0" w:space="0" w:color="auto"/>
      </w:divBdr>
    </w:div>
    <w:div w:id="1528758781">
      <w:bodyDiv w:val="1"/>
      <w:marLeft w:val="0"/>
      <w:marRight w:val="0"/>
      <w:marTop w:val="0"/>
      <w:marBottom w:val="0"/>
      <w:divBdr>
        <w:top w:val="none" w:sz="0" w:space="0" w:color="auto"/>
        <w:left w:val="none" w:sz="0" w:space="0" w:color="auto"/>
        <w:bottom w:val="none" w:sz="0" w:space="0" w:color="auto"/>
        <w:right w:val="none" w:sz="0" w:space="0" w:color="auto"/>
      </w:divBdr>
    </w:div>
    <w:div w:id="1740638197">
      <w:bodyDiv w:val="1"/>
      <w:marLeft w:val="0"/>
      <w:marRight w:val="0"/>
      <w:marTop w:val="0"/>
      <w:marBottom w:val="0"/>
      <w:divBdr>
        <w:top w:val="none" w:sz="0" w:space="0" w:color="auto"/>
        <w:left w:val="none" w:sz="0" w:space="0" w:color="auto"/>
        <w:bottom w:val="none" w:sz="0" w:space="0" w:color="auto"/>
        <w:right w:val="none" w:sz="0" w:space="0" w:color="auto"/>
      </w:divBdr>
    </w:div>
    <w:div w:id="1859004773">
      <w:bodyDiv w:val="1"/>
      <w:marLeft w:val="0"/>
      <w:marRight w:val="0"/>
      <w:marTop w:val="0"/>
      <w:marBottom w:val="0"/>
      <w:divBdr>
        <w:top w:val="none" w:sz="0" w:space="0" w:color="auto"/>
        <w:left w:val="none" w:sz="0" w:space="0" w:color="auto"/>
        <w:bottom w:val="none" w:sz="0" w:space="0" w:color="auto"/>
        <w:right w:val="none" w:sz="0" w:space="0" w:color="auto"/>
      </w:divBdr>
    </w:div>
    <w:div w:id="1859153309">
      <w:bodyDiv w:val="1"/>
      <w:marLeft w:val="0"/>
      <w:marRight w:val="0"/>
      <w:marTop w:val="0"/>
      <w:marBottom w:val="0"/>
      <w:divBdr>
        <w:top w:val="none" w:sz="0" w:space="0" w:color="auto"/>
        <w:left w:val="none" w:sz="0" w:space="0" w:color="auto"/>
        <w:bottom w:val="none" w:sz="0" w:space="0" w:color="auto"/>
        <w:right w:val="none" w:sz="0" w:space="0" w:color="auto"/>
      </w:divBdr>
    </w:div>
    <w:div w:id="1934899062">
      <w:bodyDiv w:val="1"/>
      <w:marLeft w:val="0"/>
      <w:marRight w:val="0"/>
      <w:marTop w:val="0"/>
      <w:marBottom w:val="0"/>
      <w:divBdr>
        <w:top w:val="none" w:sz="0" w:space="0" w:color="auto"/>
        <w:left w:val="none" w:sz="0" w:space="0" w:color="auto"/>
        <w:bottom w:val="none" w:sz="0" w:space="0" w:color="auto"/>
        <w:right w:val="none" w:sz="0" w:space="0" w:color="auto"/>
      </w:divBdr>
    </w:div>
    <w:div w:id="1988968610">
      <w:bodyDiv w:val="1"/>
      <w:marLeft w:val="0"/>
      <w:marRight w:val="0"/>
      <w:marTop w:val="0"/>
      <w:marBottom w:val="0"/>
      <w:divBdr>
        <w:top w:val="none" w:sz="0" w:space="0" w:color="auto"/>
        <w:left w:val="none" w:sz="0" w:space="0" w:color="auto"/>
        <w:bottom w:val="none" w:sz="0" w:space="0" w:color="auto"/>
        <w:right w:val="none" w:sz="0" w:space="0" w:color="auto"/>
      </w:divBdr>
    </w:div>
    <w:div w:id="2013557193">
      <w:bodyDiv w:val="1"/>
      <w:marLeft w:val="0"/>
      <w:marRight w:val="0"/>
      <w:marTop w:val="0"/>
      <w:marBottom w:val="0"/>
      <w:divBdr>
        <w:top w:val="none" w:sz="0" w:space="0" w:color="auto"/>
        <w:left w:val="none" w:sz="0" w:space="0" w:color="auto"/>
        <w:bottom w:val="none" w:sz="0" w:space="0" w:color="auto"/>
        <w:right w:val="none" w:sz="0" w:space="0" w:color="auto"/>
      </w:divBdr>
    </w:div>
    <w:div w:id="2044673449">
      <w:bodyDiv w:val="1"/>
      <w:marLeft w:val="0"/>
      <w:marRight w:val="0"/>
      <w:marTop w:val="0"/>
      <w:marBottom w:val="0"/>
      <w:divBdr>
        <w:top w:val="none" w:sz="0" w:space="0" w:color="auto"/>
        <w:left w:val="none" w:sz="0" w:space="0" w:color="auto"/>
        <w:bottom w:val="none" w:sz="0" w:space="0" w:color="auto"/>
        <w:right w:val="none" w:sz="0" w:space="0" w:color="auto"/>
      </w:divBdr>
    </w:div>
    <w:div w:id="2071266332">
      <w:bodyDiv w:val="1"/>
      <w:marLeft w:val="0"/>
      <w:marRight w:val="0"/>
      <w:marTop w:val="0"/>
      <w:marBottom w:val="0"/>
      <w:divBdr>
        <w:top w:val="none" w:sz="0" w:space="0" w:color="auto"/>
        <w:left w:val="none" w:sz="0" w:space="0" w:color="auto"/>
        <w:bottom w:val="none" w:sz="0" w:space="0" w:color="auto"/>
        <w:right w:val="none" w:sz="0" w:space="0" w:color="auto"/>
      </w:divBdr>
    </w:div>
    <w:div w:id="2103715628">
      <w:bodyDiv w:val="1"/>
      <w:marLeft w:val="0"/>
      <w:marRight w:val="0"/>
      <w:marTop w:val="0"/>
      <w:marBottom w:val="0"/>
      <w:divBdr>
        <w:top w:val="none" w:sz="0" w:space="0" w:color="auto"/>
        <w:left w:val="none" w:sz="0" w:space="0" w:color="auto"/>
        <w:bottom w:val="none" w:sz="0" w:space="0" w:color="auto"/>
        <w:right w:val="none" w:sz="0" w:space="0" w:color="auto"/>
      </w:divBdr>
    </w:div>
    <w:div w:id="21212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womenwatch/daw/beijing/pdf/BDPfA%20E.pdf" TargetMode="External"/><Relationship Id="rId18" Type="http://schemas.openxmlformats.org/officeDocument/2006/relationships/hyperlink" Target="https://www.who.int/docs/default-source/primary-health/declaration/gcphc-declaration.pdf" TargetMode="External"/><Relationship Id="rId3" Type="http://schemas.openxmlformats.org/officeDocument/2006/relationships/customXml" Target="../customXml/item3.xml"/><Relationship Id="rId21" Type="http://schemas.openxmlformats.org/officeDocument/2006/relationships/fontTable" Target="fontTable.xml"/><Relationship Id="rId63"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un.org/en/development/desa/population/events/pdf/expert/27/SupportingDocuments/A_CONF.171_13_Rev.1.pdf" TargetMode="External"/><Relationship Id="rId17" Type="http://schemas.openxmlformats.org/officeDocument/2006/relationships/hyperlink" Target="https://www.who.int/publications/almaata_declaration_en.pdf" TargetMode="External"/><Relationship Id="rId2" Type="http://schemas.openxmlformats.org/officeDocument/2006/relationships/customXml" Target="../customXml/item2.xml"/><Relationship Id="rId16" Type="http://schemas.openxmlformats.org/officeDocument/2006/relationships/hyperlink" Target="https://www.un.org/pga/73/wp-content/uploads/sites/53/2019/05/UHC-Political-Declaration-zero-draf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stainabledevelopment.un.org/content/documents/24797GSDR_report_2019.pdf" TargetMode="External"/><Relationship Id="rId5" Type="http://schemas.openxmlformats.org/officeDocument/2006/relationships/numbering" Target="numbering.xml"/><Relationship Id="rId15" Type="http://schemas.openxmlformats.org/officeDocument/2006/relationships/hyperlink" Target="https://www.nairobisummiticpd.org/content/icpd25-commitment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en/development/desa/population/publications/pdf/policy/Compendium/Volume%20II/i_Chapter%204.pdf"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ilga.org/downloads/ILGA_State_Sponsored_Homophobia_2019.pdf" TargetMode="External"/><Relationship Id="rId13" Type="http://schemas.openxmlformats.org/officeDocument/2006/relationships/hyperlink" Target="https://www.guttmacher.org/fact-sheet/abortion-asia" TargetMode="External"/><Relationship Id="rId3" Type="http://schemas.openxmlformats.org/officeDocument/2006/relationships/hyperlink" Target="https://www.un.org/pga/73/wp-content/uploads/sites/53/2019/05/UHC-Political-Declaration-zero-draft.pdf" TargetMode="External"/><Relationship Id="rId7" Type="http://schemas.openxmlformats.org/officeDocument/2006/relationships/hyperlink" Target="https://galencentre.org/wp-content/uploads/2019/04/PFA02_2019_Challenges-to-Mental-Health-Access-Among-LGBT-People.pdf" TargetMode="External"/><Relationship Id="rId12" Type="http://schemas.openxmlformats.org/officeDocument/2006/relationships/hyperlink" Target="https://www.unescap.org/sites/default/files/publications/Sustainable%20Social%20Development%20in%20A-P.pdf" TargetMode="External"/><Relationship Id="rId2" Type="http://schemas.openxmlformats.org/officeDocument/2006/relationships/hyperlink" Target="https://unfpa.org/sites/default/files/pub-pdf/Migrant_Vietnam_.pdf" TargetMode="External"/><Relationship Id="rId16" Type="http://schemas.openxmlformats.org/officeDocument/2006/relationships/hyperlink" Target="https://asiapacific.unfpa.org/sites/default/files/pub-pdf/UNFPA%20SHR%20YP%20AP_2015%20for%20web-final.pdf" TargetMode="External"/><Relationship Id="rId1" Type="http://schemas.openxmlformats.org/officeDocument/2006/relationships/hyperlink" Target="https://www.unescap.org/sites/default/files/SDD-IoO-Womens-SRH-report-v1-7-E.pdf" TargetMode="External"/><Relationship Id="rId6" Type="http://schemas.openxmlformats.org/officeDocument/2006/relationships/hyperlink" Target="https://www.unescap.org/sites/default/files/COVID%20_Report_ESCAP.pdf" TargetMode="External"/><Relationship Id="rId11" Type="http://schemas.openxmlformats.org/officeDocument/2006/relationships/hyperlink" Target="https://doi.org/10.1787/health_glance_ap-2018-en" TargetMode="External"/><Relationship Id="rId5" Type="http://schemas.openxmlformats.org/officeDocument/2006/relationships/hyperlink" Target="https://www.oecd-ilibrary.org/docserver/health_glance_ap-2018-en.pdf?expires=1589616809&amp;id=id&amp;accname=guest&amp;checksum=C282DD3403A97C50DDFE5C07A8FE1EDB" TargetMode="External"/><Relationship Id="rId15" Type="http://schemas.openxmlformats.org/officeDocument/2006/relationships/hyperlink" Target="https://sustainabledevelopment.un.org/content/documents/24797GSDR_report_2019.pdf" TargetMode="External"/><Relationship Id="rId10" Type="http://schemas.openxmlformats.org/officeDocument/2006/relationships/hyperlink" Target="https://www.unescap.org/sites/default/files/COVID%20_Report_ESCAP.pdf" TargetMode="External"/><Relationship Id="rId4" Type="http://schemas.openxmlformats.org/officeDocument/2006/relationships/hyperlink" Target="https://www.unescap.org/apfsd/7/document/APFSD7_1E.pdf" TargetMode="External"/><Relationship Id="rId9" Type="http://schemas.openxmlformats.org/officeDocument/2006/relationships/hyperlink" Target="https://www.th.undp.org/content/thailand/en/home/library/democratic_governance/legal-gender-recognition-in-thailand--a-legal-and-policy-review.html" TargetMode="External"/><Relationship Id="rId14" Type="http://schemas.openxmlformats.org/officeDocument/2006/relationships/hyperlink" Target="https://asiapacific.unfpa.org/sites/default/files/pub-pdf/UNFPA%20SHR%20YP%20AP_2015%20for%20web-final.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3BA70C28999844B23F159A152951DE" ma:contentTypeVersion="13" ma:contentTypeDescription="Create a new document." ma:contentTypeScope="" ma:versionID="9c25ca5c62645d2db93d260d7ac77ce9">
  <xsd:schema xmlns:xsd="http://www.w3.org/2001/XMLSchema" xmlns:xs="http://www.w3.org/2001/XMLSchema" xmlns:p="http://schemas.microsoft.com/office/2006/metadata/properties" xmlns:ns3="fd87428d-2c22-45c5-956d-13bf3600237b" xmlns:ns4="1aea6657-7064-473b-9579-6f409240ad3e" targetNamespace="http://schemas.microsoft.com/office/2006/metadata/properties" ma:root="true" ma:fieldsID="df057b4c0d1d34133be14d7c743aee1d" ns3:_="" ns4:_="">
    <xsd:import namespace="fd87428d-2c22-45c5-956d-13bf3600237b"/>
    <xsd:import namespace="1aea6657-7064-473b-9579-6f409240ad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7428d-2c22-45c5-956d-13bf360023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a6657-7064-473b-9579-6f409240ad3e"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4B1F5-05B6-4DA9-B36F-DDF3BC727F76}">
  <ds:schemaRefs>
    <ds:schemaRef ds:uri="http://schemas.microsoft.com/sharepoint/v3/contenttype/forms"/>
  </ds:schemaRefs>
</ds:datastoreItem>
</file>

<file path=customXml/itemProps2.xml><?xml version="1.0" encoding="utf-8"?>
<ds:datastoreItem xmlns:ds="http://schemas.openxmlformats.org/officeDocument/2006/customXml" ds:itemID="{3464970D-5A92-47FF-ACD7-9947C60346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55F86C-1F00-423C-96EA-431C49F28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7428d-2c22-45c5-956d-13bf3600237b"/>
    <ds:schemaRef ds:uri="1aea6657-7064-473b-9579-6f409240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CE854-AAD4-489A-A42D-E11CAFA7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Zaman</dc:creator>
  <cp:keywords/>
  <dc:description/>
  <cp:lastModifiedBy>Alexa Johns</cp:lastModifiedBy>
  <cp:revision>65</cp:revision>
  <cp:lastPrinted>2020-05-30T19:58:00Z</cp:lastPrinted>
  <dcterms:created xsi:type="dcterms:W3CDTF">2020-07-07T02:47:00Z</dcterms:created>
  <dcterms:modified xsi:type="dcterms:W3CDTF">2020-07-07T06:20:00Z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0x0101001A3BA70C28999844B23F159A152951DE</vt:lpwstr>
  </property>
</Properties>
</file>